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C4023" w14:textId="77777777" w:rsidR="00BA42A8" w:rsidRDefault="00BA42A8" w:rsidP="00B76878">
      <w:pPr>
        <w:widowControl w:val="0"/>
        <w:tabs>
          <w:tab w:val="left" w:pos="709"/>
          <w:tab w:val="left" w:pos="1559"/>
          <w:tab w:val="left" w:pos="2551"/>
          <w:tab w:val="left" w:pos="3685"/>
          <w:tab w:val="left" w:pos="4961"/>
        </w:tabs>
        <w:suppressAutoHyphens w:val="0"/>
        <w:spacing w:line="252" w:lineRule="auto"/>
      </w:pPr>
    </w:p>
    <w:p w14:paraId="0262F028" w14:textId="77777777" w:rsidR="00BA42A8" w:rsidRDefault="00D70988" w:rsidP="00B76878">
      <w:pPr>
        <w:pStyle w:val="Title"/>
        <w:keepNext w:val="0"/>
        <w:keepLines w:val="0"/>
        <w:widowControl w:val="0"/>
        <w:suppressAutoHyphens w:val="0"/>
        <w:spacing w:line="252" w:lineRule="auto"/>
        <w:rPr>
          <w:sz w:val="22"/>
          <w:szCs w:val="22"/>
        </w:rPr>
      </w:pPr>
      <w:r>
        <w:rPr>
          <w:sz w:val="22"/>
          <w:szCs w:val="22"/>
        </w:rPr>
        <w:t xml:space="preserve">DATA SHARING AGREEMENT </w:t>
      </w:r>
    </w:p>
    <w:p w14:paraId="28A3CE61" w14:textId="77777777" w:rsidR="00BA42A8" w:rsidRDefault="00BA42A8" w:rsidP="00B76878">
      <w:pPr>
        <w:widowControl w:val="0"/>
        <w:suppressAutoHyphens w:val="0"/>
        <w:spacing w:line="252" w:lineRule="auto"/>
      </w:pPr>
    </w:p>
    <w:p w14:paraId="078D1851" w14:textId="691F454D" w:rsidR="00011423" w:rsidRDefault="00011423" w:rsidP="00011423">
      <w:pPr>
        <w:ind w:right="1417"/>
      </w:pPr>
      <w:r w:rsidRPr="00A17DB2">
        <w:t xml:space="preserve">This Agreement sets out the agreed roles and responsibilities of the controllers for demonstrating compliance with the UK data protection legislation.  </w:t>
      </w:r>
    </w:p>
    <w:p w14:paraId="2F311A49" w14:textId="77777777" w:rsidR="00BA42A8" w:rsidRDefault="00BA42A8" w:rsidP="00B76878">
      <w:pPr>
        <w:widowControl w:val="0"/>
        <w:suppressAutoHyphens w:val="0"/>
        <w:spacing w:line="252" w:lineRule="auto"/>
      </w:pPr>
    </w:p>
    <w:p w14:paraId="20E4FA11" w14:textId="77777777" w:rsidR="002A3095" w:rsidRDefault="002A3095" w:rsidP="00B76878">
      <w:pPr>
        <w:widowControl w:val="0"/>
        <w:suppressAutoHyphens w:val="0"/>
        <w:spacing w:line="252" w:lineRule="auto"/>
      </w:pPr>
    </w:p>
    <w:p w14:paraId="65FF4743" w14:textId="77777777" w:rsidR="002A3095" w:rsidRPr="00A17DB2" w:rsidRDefault="002A3095" w:rsidP="002A3095">
      <w:pPr>
        <w:pStyle w:val="Header"/>
        <w:rPr>
          <w:lang w:val="en-US"/>
        </w:rPr>
      </w:pPr>
      <w:r w:rsidRPr="00A17DB2">
        <w:rPr>
          <w:lang w:val="en-US"/>
        </w:rPr>
        <w:t>Document Control:</w:t>
      </w:r>
    </w:p>
    <w:tbl>
      <w:tblPr>
        <w:tblW w:w="8642" w:type="dxa"/>
        <w:tblCellMar>
          <w:left w:w="10" w:type="dxa"/>
          <w:right w:w="10" w:type="dxa"/>
        </w:tblCellMar>
        <w:tblLook w:val="04A0" w:firstRow="1" w:lastRow="0" w:firstColumn="1" w:lastColumn="0" w:noHBand="0" w:noVBand="1"/>
      </w:tblPr>
      <w:tblGrid>
        <w:gridCol w:w="1388"/>
        <w:gridCol w:w="2104"/>
        <w:gridCol w:w="5150"/>
      </w:tblGrid>
      <w:tr w:rsidR="002A3095" w:rsidRPr="00A17DB2" w14:paraId="4493CD11" w14:textId="77777777" w:rsidTr="005577F0">
        <w:tc>
          <w:tcPr>
            <w:tcW w:w="1388"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0D5DCECD" w14:textId="77777777" w:rsidR="002A3095" w:rsidRPr="00A17DB2" w:rsidRDefault="002A3095" w:rsidP="005577F0">
            <w:pPr>
              <w:pStyle w:val="Header"/>
              <w:rPr>
                <w:lang w:val="en-US"/>
              </w:rPr>
            </w:pPr>
            <w:r w:rsidRPr="00A17DB2">
              <w:rPr>
                <w:lang w:val="en-US"/>
              </w:rPr>
              <w:t>Version</w:t>
            </w:r>
          </w:p>
        </w:tc>
        <w:tc>
          <w:tcPr>
            <w:tcW w:w="2104"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62D352CE" w14:textId="77777777" w:rsidR="002A3095" w:rsidRPr="00A17DB2" w:rsidRDefault="002A3095" w:rsidP="005577F0">
            <w:pPr>
              <w:pStyle w:val="Header"/>
              <w:rPr>
                <w:lang w:val="en-US"/>
              </w:rPr>
            </w:pPr>
            <w:r w:rsidRPr="00A17DB2">
              <w:rPr>
                <w:lang w:val="en-US"/>
              </w:rPr>
              <w:t>Date</w:t>
            </w:r>
          </w:p>
        </w:tc>
        <w:tc>
          <w:tcPr>
            <w:tcW w:w="5150"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601C9BD9" w14:textId="77777777" w:rsidR="002A3095" w:rsidRPr="00A17DB2" w:rsidRDefault="002A3095" w:rsidP="005577F0">
            <w:pPr>
              <w:pStyle w:val="Header"/>
              <w:rPr>
                <w:lang w:val="en-US"/>
              </w:rPr>
            </w:pPr>
            <w:r w:rsidRPr="00A17DB2">
              <w:rPr>
                <w:lang w:val="en-US"/>
              </w:rPr>
              <w:t>Comments</w:t>
            </w:r>
          </w:p>
        </w:tc>
      </w:tr>
      <w:tr w:rsidR="002A3095" w:rsidRPr="00A17DB2" w14:paraId="0C85CBBB" w14:textId="77777777" w:rsidTr="005577F0">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DAF7" w14:textId="77777777" w:rsidR="002A3095" w:rsidRPr="00A17DB2" w:rsidRDefault="002A3095" w:rsidP="005577F0">
            <w:pPr>
              <w:pStyle w:val="Header"/>
              <w:rPr>
                <w:lang w:val="en-US"/>
              </w:rPr>
            </w:pPr>
            <w:r w:rsidRPr="00A17DB2">
              <w:rPr>
                <w:lang w:val="en-US"/>
              </w:rPr>
              <w:t>Draft 1</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3351C" w14:textId="610FBE35" w:rsidR="002A3095" w:rsidRPr="00A17DB2" w:rsidRDefault="002A3095" w:rsidP="005577F0">
            <w:pPr>
              <w:pStyle w:val="Header"/>
              <w:rPr>
                <w:lang w:val="en-US"/>
              </w:rPr>
            </w:pPr>
            <w:r>
              <w:rPr>
                <w:lang w:val="en-US"/>
              </w:rPr>
              <w:t>17</w:t>
            </w:r>
            <w:r w:rsidRPr="00A17DB2">
              <w:rPr>
                <w:lang w:val="en-US"/>
              </w:rPr>
              <w:t xml:space="preserve"> Ju</w:t>
            </w:r>
            <w:r>
              <w:rPr>
                <w:lang w:val="en-US"/>
              </w:rPr>
              <w:t>ne</w:t>
            </w:r>
            <w:r w:rsidRPr="00A17DB2">
              <w:rPr>
                <w:lang w:val="en-US"/>
              </w:rPr>
              <w:t xml:space="preserve"> 202</w:t>
            </w:r>
            <w:r>
              <w:rPr>
                <w:lang w:val="en-US"/>
              </w:rPr>
              <w:t>2</w:t>
            </w:r>
          </w:p>
        </w:tc>
        <w:tc>
          <w:tcPr>
            <w:tcW w:w="5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944EC" w14:textId="54E5353E" w:rsidR="002A3095" w:rsidRPr="00A17DB2" w:rsidRDefault="002A3095" w:rsidP="005577F0">
            <w:pPr>
              <w:pStyle w:val="Header"/>
              <w:rPr>
                <w:lang w:val="en-US"/>
              </w:rPr>
            </w:pPr>
            <w:r>
              <w:rPr>
                <w:lang w:val="en-US"/>
              </w:rPr>
              <w:t>First draft</w:t>
            </w:r>
          </w:p>
        </w:tc>
      </w:tr>
      <w:tr w:rsidR="002A3095" w:rsidRPr="00A17DB2" w14:paraId="3E4C3AE3" w14:textId="77777777" w:rsidTr="005577F0">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58F0B" w14:textId="37F66F71" w:rsidR="002A3095" w:rsidRPr="00A17DB2" w:rsidRDefault="000F794B" w:rsidP="005577F0">
            <w:pPr>
              <w:pStyle w:val="Header"/>
              <w:rPr>
                <w:lang w:val="en-US"/>
              </w:rPr>
            </w:pPr>
            <w:r>
              <w:rPr>
                <w:lang w:val="en-US"/>
              </w:rPr>
              <w:t xml:space="preserve">Draft </w:t>
            </w:r>
            <w:r w:rsidR="008D2F7B">
              <w:rPr>
                <w:lang w:val="en-US"/>
              </w:rPr>
              <w:t>2</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3EC3" w14:textId="16A8C0BC" w:rsidR="002A3095" w:rsidRPr="00A17DB2" w:rsidRDefault="00D74D82" w:rsidP="005577F0">
            <w:pPr>
              <w:pStyle w:val="Header"/>
              <w:rPr>
                <w:lang w:val="en-US"/>
              </w:rPr>
            </w:pPr>
            <w:r>
              <w:rPr>
                <w:lang w:val="en-US"/>
              </w:rPr>
              <w:t>27 October 2022</w:t>
            </w:r>
          </w:p>
        </w:tc>
        <w:tc>
          <w:tcPr>
            <w:tcW w:w="5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D874C" w14:textId="2E5B475B" w:rsidR="002A3095" w:rsidRPr="00A17DB2" w:rsidRDefault="00D74D82" w:rsidP="005577F0">
            <w:pPr>
              <w:pStyle w:val="Header"/>
              <w:rPr>
                <w:lang w:val="en-US"/>
              </w:rPr>
            </w:pPr>
            <w:r>
              <w:rPr>
                <w:lang w:val="en-US"/>
              </w:rPr>
              <w:t>Updated draft</w:t>
            </w:r>
          </w:p>
        </w:tc>
      </w:tr>
      <w:tr w:rsidR="002A3095" w:rsidRPr="00A17DB2" w14:paraId="0DE973CD" w14:textId="77777777" w:rsidTr="005577F0">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BECDC" w14:textId="4C51AC32" w:rsidR="002A3095" w:rsidRPr="00A17DB2" w:rsidRDefault="001941AF" w:rsidP="005577F0">
            <w:pPr>
              <w:pStyle w:val="Header"/>
              <w:rPr>
                <w:lang w:val="en-US"/>
              </w:rPr>
            </w:pPr>
            <w:r>
              <w:rPr>
                <w:lang w:val="en-US"/>
              </w:rPr>
              <w:t>Draft 3</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A77F4" w14:textId="03EF64FE" w:rsidR="002A3095" w:rsidRPr="00A17DB2" w:rsidRDefault="001941AF" w:rsidP="005577F0">
            <w:pPr>
              <w:pStyle w:val="Header"/>
              <w:rPr>
                <w:lang w:val="en-US"/>
              </w:rPr>
            </w:pPr>
            <w:r>
              <w:rPr>
                <w:lang w:val="en-US"/>
              </w:rPr>
              <w:t>08 November 2022</w:t>
            </w:r>
          </w:p>
        </w:tc>
        <w:tc>
          <w:tcPr>
            <w:tcW w:w="5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8C925" w14:textId="76623BCF" w:rsidR="002A3095" w:rsidRPr="00A17DB2" w:rsidRDefault="001941AF" w:rsidP="005577F0">
            <w:pPr>
              <w:pStyle w:val="Header"/>
              <w:rPr>
                <w:lang w:val="en-US"/>
              </w:rPr>
            </w:pPr>
            <w:r>
              <w:rPr>
                <w:lang w:val="en-US"/>
              </w:rPr>
              <w:t>Updated draft</w:t>
            </w:r>
          </w:p>
        </w:tc>
      </w:tr>
      <w:tr w:rsidR="002A3095" w:rsidRPr="00A17DB2" w14:paraId="630A83D2" w14:textId="77777777" w:rsidTr="005577F0">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C2D8E" w14:textId="3BA3ABB2" w:rsidR="002A3095" w:rsidRPr="00A17DB2" w:rsidRDefault="00EA5E06" w:rsidP="005577F0">
            <w:pPr>
              <w:pStyle w:val="Header"/>
              <w:rPr>
                <w:lang w:val="en-US"/>
              </w:rPr>
            </w:pPr>
            <w:r>
              <w:rPr>
                <w:lang w:val="en-US"/>
              </w:rPr>
              <w:t>Draft 4</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C6F42" w14:textId="4F66EB28" w:rsidR="002A3095" w:rsidRDefault="00EA5E06" w:rsidP="005577F0">
            <w:pPr>
              <w:pStyle w:val="Header"/>
              <w:rPr>
                <w:lang w:val="en-US"/>
              </w:rPr>
            </w:pPr>
            <w:r>
              <w:rPr>
                <w:lang w:val="en-US"/>
              </w:rPr>
              <w:t>November 2023</w:t>
            </w:r>
          </w:p>
        </w:tc>
        <w:tc>
          <w:tcPr>
            <w:tcW w:w="5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2C89" w14:textId="18A4CBD0" w:rsidR="002A3095" w:rsidRPr="00A17DB2" w:rsidRDefault="00EA5E06" w:rsidP="005577F0">
            <w:pPr>
              <w:pStyle w:val="Header"/>
              <w:rPr>
                <w:lang w:val="en-US"/>
              </w:rPr>
            </w:pPr>
            <w:r>
              <w:rPr>
                <w:lang w:val="en-US"/>
              </w:rPr>
              <w:t>Updated draft</w:t>
            </w:r>
          </w:p>
        </w:tc>
      </w:tr>
      <w:tr w:rsidR="002A3095" w:rsidRPr="00A17DB2" w14:paraId="00ADDD74" w14:textId="77777777" w:rsidTr="005577F0">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FF977" w14:textId="20FB2933" w:rsidR="002A3095" w:rsidRDefault="00CE65DF" w:rsidP="005577F0">
            <w:pPr>
              <w:pStyle w:val="Header"/>
              <w:rPr>
                <w:lang w:val="en-US"/>
              </w:rPr>
            </w:pPr>
            <w:r>
              <w:rPr>
                <w:lang w:val="en-US"/>
              </w:rPr>
              <w:t>Draft 5</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0C77" w14:textId="288BD4FA" w:rsidR="002A3095" w:rsidRDefault="00EF687F" w:rsidP="005577F0">
            <w:pPr>
              <w:pStyle w:val="Header"/>
              <w:rPr>
                <w:lang w:val="en-US"/>
              </w:rPr>
            </w:pPr>
            <w:r>
              <w:rPr>
                <w:lang w:val="en-US"/>
              </w:rPr>
              <w:t>December 2023</w:t>
            </w:r>
          </w:p>
        </w:tc>
        <w:tc>
          <w:tcPr>
            <w:tcW w:w="5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520F3" w14:textId="2F6EAADF" w:rsidR="002A3095" w:rsidRPr="00A17DB2" w:rsidRDefault="00EF687F" w:rsidP="005577F0">
            <w:pPr>
              <w:pStyle w:val="Header"/>
              <w:rPr>
                <w:lang w:val="en-US"/>
              </w:rPr>
            </w:pPr>
            <w:r>
              <w:rPr>
                <w:lang w:val="en-US"/>
              </w:rPr>
              <w:t xml:space="preserve">Updated </w:t>
            </w:r>
            <w:r w:rsidR="0039370F">
              <w:rPr>
                <w:lang w:val="en-US"/>
              </w:rPr>
              <w:t>for Community Pharmacy</w:t>
            </w:r>
          </w:p>
        </w:tc>
      </w:tr>
    </w:tbl>
    <w:p w14:paraId="29155015" w14:textId="77777777" w:rsidR="002A3095" w:rsidRDefault="002A3095" w:rsidP="002A3095">
      <w:pPr>
        <w:rPr>
          <w:lang w:val="en-US"/>
        </w:rPr>
      </w:pPr>
      <w:r w:rsidRPr="00A17DB2">
        <w:rPr>
          <w:lang w:val="en-US"/>
        </w:rPr>
        <w:tab/>
      </w:r>
    </w:p>
    <w:p w14:paraId="528E0675" w14:textId="77777777" w:rsidR="002A3095" w:rsidRPr="00CE44A5" w:rsidRDefault="002A3095" w:rsidP="00B76878">
      <w:pPr>
        <w:widowControl w:val="0"/>
        <w:suppressAutoHyphens w:val="0"/>
        <w:spacing w:line="252" w:lineRule="auto"/>
        <w:rPr>
          <w:lang w:val="en-US"/>
        </w:rPr>
      </w:pPr>
    </w:p>
    <w:p w14:paraId="62F35115" w14:textId="77777777" w:rsidR="002A3095" w:rsidRDefault="002A3095" w:rsidP="00B76878">
      <w:pPr>
        <w:widowControl w:val="0"/>
        <w:suppressAutoHyphens w:val="0"/>
        <w:spacing w:line="252" w:lineRule="auto"/>
        <w:sectPr w:rsidR="002A3095" w:rsidSect="00645850">
          <w:headerReference w:type="default" r:id="rId11"/>
          <w:footerReference w:type="default" r:id="rId12"/>
          <w:pgSz w:w="11907" w:h="16840"/>
          <w:pgMar w:top="1440" w:right="1440" w:bottom="1440" w:left="1440" w:header="720" w:footer="720" w:gutter="0"/>
          <w:cols w:space="720"/>
          <w:docGrid w:linePitch="299"/>
        </w:sectPr>
      </w:pPr>
    </w:p>
    <w:p w14:paraId="09CA3219" w14:textId="77777777" w:rsidR="00BA42A8" w:rsidRPr="005957CD" w:rsidRDefault="00D70988" w:rsidP="00B76878">
      <w:pPr>
        <w:widowControl w:val="0"/>
        <w:suppressAutoHyphens w:val="0"/>
        <w:spacing w:line="252" w:lineRule="auto"/>
      </w:pPr>
      <w:r w:rsidRPr="005957CD">
        <w:lastRenderedPageBreak/>
        <w:t>Table of Content</w:t>
      </w:r>
    </w:p>
    <w:p w14:paraId="2CF098D0" w14:textId="77777777" w:rsidR="00BA42A8" w:rsidRPr="005957CD" w:rsidRDefault="00BA42A8" w:rsidP="00B76878">
      <w:pPr>
        <w:widowControl w:val="0"/>
        <w:suppressAutoHyphens w:val="0"/>
        <w:spacing w:line="252" w:lineRule="auto"/>
      </w:pPr>
    </w:p>
    <w:p w14:paraId="16E61E29" w14:textId="0974D0E5" w:rsidR="00E021C8" w:rsidRPr="005957CD" w:rsidRDefault="00B64C36">
      <w:pPr>
        <w:pStyle w:val="TOC2"/>
        <w:rPr>
          <w:rFonts w:asciiTheme="minorHAnsi" w:eastAsiaTheme="minorEastAsia" w:hAnsiTheme="minorHAnsi" w:cstheme="minorBidi"/>
          <w:noProof/>
          <w:lang w:eastAsia="en-GB"/>
        </w:rPr>
      </w:pPr>
      <w:r w:rsidRPr="005957CD">
        <w:fldChar w:fldCharType="begin"/>
      </w:r>
      <w:r w:rsidRPr="005957CD">
        <w:instrText xml:space="preserve"> TOC \o "1-2" \h \z \u </w:instrText>
      </w:r>
      <w:r w:rsidRPr="005957CD">
        <w:fldChar w:fldCharType="separate"/>
      </w:r>
      <w:hyperlink w:anchor="_Toc153880778" w:history="1">
        <w:r w:rsidR="00E021C8" w:rsidRPr="005957CD">
          <w:rPr>
            <w:rStyle w:val="Hyperlink"/>
            <w:noProof/>
          </w:rPr>
          <w:t>1.</w:t>
        </w:r>
        <w:r w:rsidR="00E021C8" w:rsidRPr="005957CD">
          <w:rPr>
            <w:rFonts w:asciiTheme="minorHAnsi" w:eastAsiaTheme="minorEastAsia" w:hAnsiTheme="minorHAnsi" w:cstheme="minorBidi"/>
            <w:noProof/>
            <w:lang w:eastAsia="en-GB"/>
          </w:rPr>
          <w:tab/>
        </w:r>
        <w:r w:rsidR="00E021C8" w:rsidRPr="005957CD">
          <w:rPr>
            <w:rStyle w:val="Hyperlink"/>
            <w:noProof/>
          </w:rPr>
          <w:t>Parties:</w:t>
        </w:r>
        <w:r w:rsidR="00E021C8" w:rsidRPr="005957CD">
          <w:rPr>
            <w:noProof/>
            <w:webHidden/>
          </w:rPr>
          <w:tab/>
        </w:r>
        <w:r w:rsidR="00E021C8" w:rsidRPr="005957CD">
          <w:rPr>
            <w:noProof/>
            <w:webHidden/>
          </w:rPr>
          <w:fldChar w:fldCharType="begin"/>
        </w:r>
        <w:r w:rsidR="00E021C8" w:rsidRPr="005957CD">
          <w:rPr>
            <w:noProof/>
            <w:webHidden/>
          </w:rPr>
          <w:instrText xml:space="preserve"> PAGEREF _Toc153880778 \h </w:instrText>
        </w:r>
        <w:r w:rsidR="00E021C8" w:rsidRPr="005957CD">
          <w:rPr>
            <w:noProof/>
            <w:webHidden/>
          </w:rPr>
        </w:r>
        <w:r w:rsidR="00E021C8" w:rsidRPr="005957CD">
          <w:rPr>
            <w:noProof/>
            <w:webHidden/>
          </w:rPr>
          <w:fldChar w:fldCharType="separate"/>
        </w:r>
        <w:r w:rsidR="00E021C8" w:rsidRPr="005957CD">
          <w:rPr>
            <w:noProof/>
            <w:webHidden/>
          </w:rPr>
          <w:t>4</w:t>
        </w:r>
        <w:r w:rsidR="00E021C8" w:rsidRPr="005957CD">
          <w:rPr>
            <w:noProof/>
            <w:webHidden/>
          </w:rPr>
          <w:fldChar w:fldCharType="end"/>
        </w:r>
      </w:hyperlink>
    </w:p>
    <w:p w14:paraId="151FBEF9" w14:textId="437E2581" w:rsidR="00E021C8" w:rsidRPr="005957CD" w:rsidRDefault="00E021C8">
      <w:pPr>
        <w:pStyle w:val="TOC2"/>
        <w:rPr>
          <w:rFonts w:asciiTheme="minorHAnsi" w:eastAsiaTheme="minorEastAsia" w:hAnsiTheme="minorHAnsi" w:cstheme="minorBidi"/>
          <w:noProof/>
          <w:lang w:eastAsia="en-GB"/>
        </w:rPr>
      </w:pPr>
      <w:hyperlink w:anchor="_Toc153880779" w:history="1">
        <w:r w:rsidRPr="005957CD">
          <w:rPr>
            <w:rStyle w:val="Hyperlink"/>
            <w:noProof/>
          </w:rPr>
          <w:t>2.</w:t>
        </w:r>
        <w:r w:rsidRPr="005957CD">
          <w:rPr>
            <w:rFonts w:asciiTheme="minorHAnsi" w:eastAsiaTheme="minorEastAsia" w:hAnsiTheme="minorHAnsi" w:cstheme="minorBidi"/>
            <w:noProof/>
            <w:lang w:eastAsia="en-GB"/>
          </w:rPr>
          <w:tab/>
        </w:r>
        <w:r w:rsidRPr="005957CD">
          <w:rPr>
            <w:rStyle w:val="Hyperlink"/>
            <w:noProof/>
          </w:rPr>
          <w:t>Glossary</w:t>
        </w:r>
        <w:r w:rsidRPr="005957CD">
          <w:rPr>
            <w:noProof/>
            <w:webHidden/>
          </w:rPr>
          <w:tab/>
        </w:r>
        <w:r w:rsidRPr="005957CD">
          <w:rPr>
            <w:noProof/>
            <w:webHidden/>
          </w:rPr>
          <w:fldChar w:fldCharType="begin"/>
        </w:r>
        <w:r w:rsidRPr="005957CD">
          <w:rPr>
            <w:noProof/>
            <w:webHidden/>
          </w:rPr>
          <w:instrText xml:space="preserve"> PAGEREF _Toc153880779 \h </w:instrText>
        </w:r>
        <w:r w:rsidRPr="005957CD">
          <w:rPr>
            <w:noProof/>
            <w:webHidden/>
          </w:rPr>
        </w:r>
        <w:r w:rsidRPr="005957CD">
          <w:rPr>
            <w:noProof/>
            <w:webHidden/>
          </w:rPr>
          <w:fldChar w:fldCharType="separate"/>
        </w:r>
        <w:r w:rsidRPr="005957CD">
          <w:rPr>
            <w:noProof/>
            <w:webHidden/>
          </w:rPr>
          <w:t>4</w:t>
        </w:r>
        <w:r w:rsidRPr="005957CD">
          <w:rPr>
            <w:noProof/>
            <w:webHidden/>
          </w:rPr>
          <w:fldChar w:fldCharType="end"/>
        </w:r>
      </w:hyperlink>
    </w:p>
    <w:p w14:paraId="7DEE1325" w14:textId="16A344F3" w:rsidR="00E021C8" w:rsidRPr="005957CD" w:rsidRDefault="00E021C8">
      <w:pPr>
        <w:pStyle w:val="TOC2"/>
        <w:rPr>
          <w:rFonts w:asciiTheme="minorHAnsi" w:eastAsiaTheme="minorEastAsia" w:hAnsiTheme="minorHAnsi" w:cstheme="minorBidi"/>
          <w:noProof/>
          <w:lang w:eastAsia="en-GB"/>
        </w:rPr>
      </w:pPr>
      <w:hyperlink w:anchor="_Toc153880780" w:history="1">
        <w:r w:rsidRPr="005957CD">
          <w:rPr>
            <w:rStyle w:val="Hyperlink"/>
            <w:noProof/>
          </w:rPr>
          <w:t>3.</w:t>
        </w:r>
        <w:r w:rsidRPr="005957CD">
          <w:rPr>
            <w:rFonts w:asciiTheme="minorHAnsi" w:eastAsiaTheme="minorEastAsia" w:hAnsiTheme="minorHAnsi" w:cstheme="minorBidi"/>
            <w:noProof/>
            <w:lang w:eastAsia="en-GB"/>
          </w:rPr>
          <w:tab/>
        </w:r>
        <w:r w:rsidRPr="005957CD">
          <w:rPr>
            <w:rStyle w:val="Hyperlink"/>
            <w:noProof/>
          </w:rPr>
          <w:t>Purpose and objectives of the information sharing</w:t>
        </w:r>
        <w:r w:rsidRPr="005957CD">
          <w:rPr>
            <w:noProof/>
            <w:webHidden/>
          </w:rPr>
          <w:tab/>
        </w:r>
        <w:r w:rsidRPr="005957CD">
          <w:rPr>
            <w:noProof/>
            <w:webHidden/>
          </w:rPr>
          <w:fldChar w:fldCharType="begin"/>
        </w:r>
        <w:r w:rsidRPr="005957CD">
          <w:rPr>
            <w:noProof/>
            <w:webHidden/>
          </w:rPr>
          <w:instrText xml:space="preserve"> PAGEREF _Toc153880780 \h </w:instrText>
        </w:r>
        <w:r w:rsidRPr="005957CD">
          <w:rPr>
            <w:noProof/>
            <w:webHidden/>
          </w:rPr>
        </w:r>
        <w:r w:rsidRPr="005957CD">
          <w:rPr>
            <w:noProof/>
            <w:webHidden/>
          </w:rPr>
          <w:fldChar w:fldCharType="separate"/>
        </w:r>
        <w:r w:rsidRPr="005957CD">
          <w:rPr>
            <w:noProof/>
            <w:webHidden/>
          </w:rPr>
          <w:t>5</w:t>
        </w:r>
        <w:r w:rsidRPr="005957CD">
          <w:rPr>
            <w:noProof/>
            <w:webHidden/>
          </w:rPr>
          <w:fldChar w:fldCharType="end"/>
        </w:r>
      </w:hyperlink>
    </w:p>
    <w:p w14:paraId="31617797" w14:textId="11EDC603" w:rsidR="00E021C8" w:rsidRPr="005957CD" w:rsidRDefault="00E021C8">
      <w:pPr>
        <w:pStyle w:val="TOC2"/>
        <w:rPr>
          <w:rFonts w:asciiTheme="minorHAnsi" w:eastAsiaTheme="minorEastAsia" w:hAnsiTheme="minorHAnsi" w:cstheme="minorBidi"/>
          <w:noProof/>
          <w:lang w:eastAsia="en-GB"/>
        </w:rPr>
      </w:pPr>
      <w:hyperlink w:anchor="_Toc153880781" w:history="1">
        <w:r w:rsidRPr="005957CD">
          <w:rPr>
            <w:rStyle w:val="Hyperlink"/>
            <w:noProof/>
          </w:rPr>
          <w:t>4.</w:t>
        </w:r>
        <w:r w:rsidRPr="005957CD">
          <w:rPr>
            <w:rFonts w:asciiTheme="minorHAnsi" w:eastAsiaTheme="minorEastAsia" w:hAnsiTheme="minorHAnsi" w:cstheme="minorBidi"/>
            <w:noProof/>
            <w:lang w:eastAsia="en-GB"/>
          </w:rPr>
          <w:tab/>
        </w:r>
        <w:r w:rsidRPr="005957CD">
          <w:rPr>
            <w:rStyle w:val="Hyperlink"/>
            <w:noProof/>
          </w:rPr>
          <w:t>Controllers</w:t>
        </w:r>
        <w:r w:rsidRPr="005957CD">
          <w:rPr>
            <w:noProof/>
            <w:webHidden/>
          </w:rPr>
          <w:tab/>
        </w:r>
        <w:r w:rsidRPr="005957CD">
          <w:rPr>
            <w:noProof/>
            <w:webHidden/>
          </w:rPr>
          <w:fldChar w:fldCharType="begin"/>
        </w:r>
        <w:r w:rsidRPr="005957CD">
          <w:rPr>
            <w:noProof/>
            <w:webHidden/>
          </w:rPr>
          <w:instrText xml:space="preserve"> PAGEREF _Toc153880781 \h </w:instrText>
        </w:r>
        <w:r w:rsidRPr="005957CD">
          <w:rPr>
            <w:noProof/>
            <w:webHidden/>
          </w:rPr>
        </w:r>
        <w:r w:rsidRPr="005957CD">
          <w:rPr>
            <w:noProof/>
            <w:webHidden/>
          </w:rPr>
          <w:fldChar w:fldCharType="separate"/>
        </w:r>
        <w:r w:rsidRPr="005957CD">
          <w:rPr>
            <w:noProof/>
            <w:webHidden/>
          </w:rPr>
          <w:t>6</w:t>
        </w:r>
        <w:r w:rsidRPr="005957CD">
          <w:rPr>
            <w:noProof/>
            <w:webHidden/>
          </w:rPr>
          <w:fldChar w:fldCharType="end"/>
        </w:r>
      </w:hyperlink>
    </w:p>
    <w:p w14:paraId="0335AD28" w14:textId="72F914A5" w:rsidR="00E021C8" w:rsidRPr="005957CD" w:rsidRDefault="00E021C8">
      <w:pPr>
        <w:pStyle w:val="TOC2"/>
        <w:rPr>
          <w:rFonts w:asciiTheme="minorHAnsi" w:eastAsiaTheme="minorEastAsia" w:hAnsiTheme="minorHAnsi" w:cstheme="minorBidi"/>
          <w:noProof/>
          <w:lang w:eastAsia="en-GB"/>
        </w:rPr>
      </w:pPr>
      <w:hyperlink w:anchor="_Toc153880782" w:history="1">
        <w:r w:rsidRPr="005957CD">
          <w:rPr>
            <w:rStyle w:val="Hyperlink"/>
            <w:noProof/>
          </w:rPr>
          <w:t>5.</w:t>
        </w:r>
        <w:r w:rsidRPr="005957CD">
          <w:rPr>
            <w:rFonts w:asciiTheme="minorHAnsi" w:eastAsiaTheme="minorEastAsia" w:hAnsiTheme="minorHAnsi" w:cstheme="minorBidi"/>
            <w:noProof/>
            <w:lang w:eastAsia="en-GB"/>
          </w:rPr>
          <w:tab/>
        </w:r>
        <w:r w:rsidRPr="005957CD">
          <w:rPr>
            <w:rStyle w:val="Hyperlink"/>
            <w:noProof/>
          </w:rPr>
          <w:t>Processors</w:t>
        </w:r>
        <w:r w:rsidRPr="005957CD">
          <w:rPr>
            <w:noProof/>
            <w:webHidden/>
          </w:rPr>
          <w:tab/>
        </w:r>
        <w:r w:rsidRPr="005957CD">
          <w:rPr>
            <w:noProof/>
            <w:webHidden/>
          </w:rPr>
          <w:fldChar w:fldCharType="begin"/>
        </w:r>
        <w:r w:rsidRPr="005957CD">
          <w:rPr>
            <w:noProof/>
            <w:webHidden/>
          </w:rPr>
          <w:instrText xml:space="preserve"> PAGEREF _Toc153880782 \h </w:instrText>
        </w:r>
        <w:r w:rsidRPr="005957CD">
          <w:rPr>
            <w:noProof/>
            <w:webHidden/>
          </w:rPr>
        </w:r>
        <w:r w:rsidRPr="005957CD">
          <w:rPr>
            <w:noProof/>
            <w:webHidden/>
          </w:rPr>
          <w:fldChar w:fldCharType="separate"/>
        </w:r>
        <w:r w:rsidRPr="005957CD">
          <w:rPr>
            <w:noProof/>
            <w:webHidden/>
          </w:rPr>
          <w:t>6</w:t>
        </w:r>
        <w:r w:rsidRPr="005957CD">
          <w:rPr>
            <w:noProof/>
            <w:webHidden/>
          </w:rPr>
          <w:fldChar w:fldCharType="end"/>
        </w:r>
      </w:hyperlink>
    </w:p>
    <w:p w14:paraId="3D408E14" w14:textId="60AC0C59" w:rsidR="00E021C8" w:rsidRPr="005957CD" w:rsidRDefault="00E021C8">
      <w:pPr>
        <w:pStyle w:val="TOC2"/>
        <w:rPr>
          <w:rFonts w:asciiTheme="minorHAnsi" w:eastAsiaTheme="minorEastAsia" w:hAnsiTheme="minorHAnsi" w:cstheme="minorBidi"/>
          <w:noProof/>
          <w:lang w:eastAsia="en-GB"/>
        </w:rPr>
      </w:pPr>
      <w:hyperlink w:anchor="_Toc153880783" w:history="1">
        <w:r w:rsidRPr="005957CD">
          <w:rPr>
            <w:rStyle w:val="Hyperlink"/>
            <w:noProof/>
          </w:rPr>
          <w:t>6.</w:t>
        </w:r>
        <w:r w:rsidRPr="005957CD">
          <w:rPr>
            <w:rFonts w:asciiTheme="minorHAnsi" w:eastAsiaTheme="minorEastAsia" w:hAnsiTheme="minorHAnsi" w:cstheme="minorBidi"/>
            <w:noProof/>
            <w:lang w:eastAsia="en-GB"/>
          </w:rPr>
          <w:tab/>
        </w:r>
        <w:r w:rsidRPr="005957CD">
          <w:rPr>
            <w:rStyle w:val="Hyperlink"/>
            <w:noProof/>
          </w:rPr>
          <w:t>Data items to be processed</w:t>
        </w:r>
        <w:r w:rsidRPr="005957CD">
          <w:rPr>
            <w:noProof/>
            <w:webHidden/>
          </w:rPr>
          <w:tab/>
        </w:r>
        <w:r w:rsidRPr="005957CD">
          <w:rPr>
            <w:noProof/>
            <w:webHidden/>
          </w:rPr>
          <w:fldChar w:fldCharType="begin"/>
        </w:r>
        <w:r w:rsidRPr="005957CD">
          <w:rPr>
            <w:noProof/>
            <w:webHidden/>
          </w:rPr>
          <w:instrText xml:space="preserve"> PAGEREF _Toc153880783 \h </w:instrText>
        </w:r>
        <w:r w:rsidRPr="005957CD">
          <w:rPr>
            <w:noProof/>
            <w:webHidden/>
          </w:rPr>
        </w:r>
        <w:r w:rsidRPr="005957CD">
          <w:rPr>
            <w:noProof/>
            <w:webHidden/>
          </w:rPr>
          <w:fldChar w:fldCharType="separate"/>
        </w:r>
        <w:r w:rsidRPr="005957CD">
          <w:rPr>
            <w:noProof/>
            <w:webHidden/>
          </w:rPr>
          <w:t>6</w:t>
        </w:r>
        <w:r w:rsidRPr="005957CD">
          <w:rPr>
            <w:noProof/>
            <w:webHidden/>
          </w:rPr>
          <w:fldChar w:fldCharType="end"/>
        </w:r>
      </w:hyperlink>
    </w:p>
    <w:p w14:paraId="70977819" w14:textId="5EAC6434" w:rsidR="00E021C8" w:rsidRPr="005957CD" w:rsidRDefault="00E021C8">
      <w:pPr>
        <w:pStyle w:val="TOC2"/>
        <w:rPr>
          <w:rFonts w:asciiTheme="minorHAnsi" w:eastAsiaTheme="minorEastAsia" w:hAnsiTheme="minorHAnsi" w:cstheme="minorBidi"/>
          <w:noProof/>
          <w:lang w:eastAsia="en-GB"/>
        </w:rPr>
      </w:pPr>
      <w:hyperlink w:anchor="_Toc153880784" w:history="1">
        <w:r w:rsidRPr="005957CD">
          <w:rPr>
            <w:rStyle w:val="Hyperlink"/>
            <w:noProof/>
          </w:rPr>
          <w:t>7.</w:t>
        </w:r>
        <w:r w:rsidRPr="005957CD">
          <w:rPr>
            <w:rFonts w:asciiTheme="minorHAnsi" w:eastAsiaTheme="minorEastAsia" w:hAnsiTheme="minorHAnsi" w:cstheme="minorBidi"/>
            <w:noProof/>
            <w:lang w:eastAsia="en-GB"/>
          </w:rPr>
          <w:tab/>
        </w:r>
        <w:r w:rsidRPr="005957CD">
          <w:rPr>
            <w:rStyle w:val="Hyperlink"/>
            <w:noProof/>
          </w:rPr>
          <w:t>Article 6 Condition: Personal data</w:t>
        </w:r>
        <w:r w:rsidRPr="005957CD">
          <w:rPr>
            <w:noProof/>
            <w:webHidden/>
          </w:rPr>
          <w:tab/>
        </w:r>
        <w:r w:rsidRPr="005957CD">
          <w:rPr>
            <w:noProof/>
            <w:webHidden/>
          </w:rPr>
          <w:fldChar w:fldCharType="begin"/>
        </w:r>
        <w:r w:rsidRPr="005957CD">
          <w:rPr>
            <w:noProof/>
            <w:webHidden/>
          </w:rPr>
          <w:instrText xml:space="preserve"> PAGEREF _Toc153880784 \h </w:instrText>
        </w:r>
        <w:r w:rsidRPr="005957CD">
          <w:rPr>
            <w:noProof/>
            <w:webHidden/>
          </w:rPr>
        </w:r>
        <w:r w:rsidRPr="005957CD">
          <w:rPr>
            <w:noProof/>
            <w:webHidden/>
          </w:rPr>
          <w:fldChar w:fldCharType="separate"/>
        </w:r>
        <w:r w:rsidRPr="005957CD">
          <w:rPr>
            <w:noProof/>
            <w:webHidden/>
          </w:rPr>
          <w:t>6</w:t>
        </w:r>
        <w:r w:rsidRPr="005957CD">
          <w:rPr>
            <w:noProof/>
            <w:webHidden/>
          </w:rPr>
          <w:fldChar w:fldCharType="end"/>
        </w:r>
      </w:hyperlink>
    </w:p>
    <w:p w14:paraId="7DE737F6" w14:textId="3ACD4991" w:rsidR="00E021C8" w:rsidRPr="005957CD" w:rsidRDefault="00E021C8">
      <w:pPr>
        <w:pStyle w:val="TOC2"/>
        <w:rPr>
          <w:rFonts w:asciiTheme="minorHAnsi" w:eastAsiaTheme="minorEastAsia" w:hAnsiTheme="minorHAnsi" w:cstheme="minorBidi"/>
          <w:noProof/>
          <w:lang w:eastAsia="en-GB"/>
        </w:rPr>
      </w:pPr>
      <w:hyperlink w:anchor="_Toc153880785" w:history="1">
        <w:r w:rsidRPr="005957CD">
          <w:rPr>
            <w:rStyle w:val="Hyperlink"/>
            <w:noProof/>
          </w:rPr>
          <w:t>8.</w:t>
        </w:r>
        <w:r w:rsidRPr="005957CD">
          <w:rPr>
            <w:rFonts w:asciiTheme="minorHAnsi" w:eastAsiaTheme="minorEastAsia" w:hAnsiTheme="minorHAnsi" w:cstheme="minorBidi"/>
            <w:noProof/>
            <w:lang w:eastAsia="en-GB"/>
          </w:rPr>
          <w:tab/>
        </w:r>
        <w:r w:rsidRPr="005957CD">
          <w:rPr>
            <w:rStyle w:val="Hyperlink"/>
            <w:noProof/>
          </w:rPr>
          <w:t>Article 9 condition: Special categories of personal data</w:t>
        </w:r>
        <w:r w:rsidRPr="005957CD">
          <w:rPr>
            <w:noProof/>
            <w:webHidden/>
          </w:rPr>
          <w:tab/>
        </w:r>
        <w:r w:rsidRPr="005957CD">
          <w:rPr>
            <w:noProof/>
            <w:webHidden/>
          </w:rPr>
          <w:fldChar w:fldCharType="begin"/>
        </w:r>
        <w:r w:rsidRPr="005957CD">
          <w:rPr>
            <w:noProof/>
            <w:webHidden/>
          </w:rPr>
          <w:instrText xml:space="preserve"> PAGEREF _Toc153880785 \h </w:instrText>
        </w:r>
        <w:r w:rsidRPr="005957CD">
          <w:rPr>
            <w:noProof/>
            <w:webHidden/>
          </w:rPr>
        </w:r>
        <w:r w:rsidRPr="005957CD">
          <w:rPr>
            <w:noProof/>
            <w:webHidden/>
          </w:rPr>
          <w:fldChar w:fldCharType="separate"/>
        </w:r>
        <w:r w:rsidRPr="005957CD">
          <w:rPr>
            <w:noProof/>
            <w:webHidden/>
          </w:rPr>
          <w:t>7</w:t>
        </w:r>
        <w:r w:rsidRPr="005957CD">
          <w:rPr>
            <w:noProof/>
            <w:webHidden/>
          </w:rPr>
          <w:fldChar w:fldCharType="end"/>
        </w:r>
      </w:hyperlink>
    </w:p>
    <w:p w14:paraId="2A5AD353" w14:textId="4C894AE7" w:rsidR="00E021C8" w:rsidRPr="005957CD" w:rsidRDefault="00E021C8">
      <w:pPr>
        <w:pStyle w:val="TOC2"/>
        <w:rPr>
          <w:rFonts w:asciiTheme="minorHAnsi" w:eastAsiaTheme="minorEastAsia" w:hAnsiTheme="minorHAnsi" w:cstheme="minorBidi"/>
          <w:noProof/>
          <w:lang w:eastAsia="en-GB"/>
        </w:rPr>
      </w:pPr>
      <w:hyperlink w:anchor="_Toc153880786" w:history="1">
        <w:r w:rsidRPr="005957CD">
          <w:rPr>
            <w:rStyle w:val="Hyperlink"/>
            <w:noProof/>
          </w:rPr>
          <w:t>9.</w:t>
        </w:r>
        <w:r w:rsidRPr="005957CD">
          <w:rPr>
            <w:rFonts w:asciiTheme="minorHAnsi" w:eastAsiaTheme="minorEastAsia" w:hAnsiTheme="minorHAnsi" w:cstheme="minorBidi"/>
            <w:noProof/>
            <w:lang w:eastAsia="en-GB"/>
          </w:rPr>
          <w:tab/>
        </w:r>
        <w:r w:rsidRPr="005957CD">
          <w:rPr>
            <w:rStyle w:val="Hyperlink"/>
            <w:noProof/>
            <w:shd w:val="clear" w:color="auto" w:fill="FFFFFF"/>
          </w:rPr>
          <w:t>Individual rights and preferences</w:t>
        </w:r>
        <w:r w:rsidRPr="005957CD">
          <w:rPr>
            <w:noProof/>
            <w:webHidden/>
          </w:rPr>
          <w:tab/>
        </w:r>
        <w:r w:rsidRPr="005957CD">
          <w:rPr>
            <w:noProof/>
            <w:webHidden/>
          </w:rPr>
          <w:fldChar w:fldCharType="begin"/>
        </w:r>
        <w:r w:rsidRPr="005957CD">
          <w:rPr>
            <w:noProof/>
            <w:webHidden/>
          </w:rPr>
          <w:instrText xml:space="preserve"> PAGEREF _Toc153880786 \h </w:instrText>
        </w:r>
        <w:r w:rsidRPr="005957CD">
          <w:rPr>
            <w:noProof/>
            <w:webHidden/>
          </w:rPr>
        </w:r>
        <w:r w:rsidRPr="005957CD">
          <w:rPr>
            <w:noProof/>
            <w:webHidden/>
          </w:rPr>
          <w:fldChar w:fldCharType="separate"/>
        </w:r>
        <w:r w:rsidRPr="005957CD">
          <w:rPr>
            <w:noProof/>
            <w:webHidden/>
          </w:rPr>
          <w:t>7</w:t>
        </w:r>
        <w:r w:rsidRPr="005957CD">
          <w:rPr>
            <w:noProof/>
            <w:webHidden/>
          </w:rPr>
          <w:fldChar w:fldCharType="end"/>
        </w:r>
      </w:hyperlink>
    </w:p>
    <w:p w14:paraId="7969F3D6" w14:textId="5AADB10E" w:rsidR="00E021C8" w:rsidRPr="005957CD" w:rsidRDefault="00E021C8">
      <w:pPr>
        <w:pStyle w:val="TOC2"/>
        <w:rPr>
          <w:rFonts w:asciiTheme="minorHAnsi" w:eastAsiaTheme="minorEastAsia" w:hAnsiTheme="minorHAnsi" w:cstheme="minorBidi"/>
          <w:noProof/>
          <w:lang w:eastAsia="en-GB"/>
        </w:rPr>
      </w:pPr>
      <w:hyperlink w:anchor="_Toc153880787" w:history="1">
        <w:r w:rsidRPr="005957CD">
          <w:rPr>
            <w:rStyle w:val="Hyperlink"/>
            <w:noProof/>
          </w:rPr>
          <w:t>10.</w:t>
        </w:r>
        <w:r w:rsidRPr="005957CD">
          <w:rPr>
            <w:rFonts w:asciiTheme="minorHAnsi" w:eastAsiaTheme="minorEastAsia" w:hAnsiTheme="minorHAnsi" w:cstheme="minorBidi"/>
            <w:noProof/>
            <w:lang w:eastAsia="en-GB"/>
          </w:rPr>
          <w:tab/>
        </w:r>
        <w:r w:rsidRPr="005957CD">
          <w:rPr>
            <w:rStyle w:val="Hyperlink"/>
            <w:noProof/>
            <w:shd w:val="clear" w:color="auto" w:fill="FFFFFF"/>
          </w:rPr>
          <w:t>Compliance with duty of confidentiality or right to privacy</w:t>
        </w:r>
        <w:r w:rsidRPr="005957CD">
          <w:rPr>
            <w:noProof/>
            <w:webHidden/>
          </w:rPr>
          <w:tab/>
        </w:r>
        <w:r w:rsidRPr="005957CD">
          <w:rPr>
            <w:noProof/>
            <w:webHidden/>
          </w:rPr>
          <w:fldChar w:fldCharType="begin"/>
        </w:r>
        <w:r w:rsidRPr="005957CD">
          <w:rPr>
            <w:noProof/>
            <w:webHidden/>
          </w:rPr>
          <w:instrText xml:space="preserve"> PAGEREF _Toc153880787 \h </w:instrText>
        </w:r>
        <w:r w:rsidRPr="005957CD">
          <w:rPr>
            <w:noProof/>
            <w:webHidden/>
          </w:rPr>
        </w:r>
        <w:r w:rsidRPr="005957CD">
          <w:rPr>
            <w:noProof/>
            <w:webHidden/>
          </w:rPr>
          <w:fldChar w:fldCharType="separate"/>
        </w:r>
        <w:r w:rsidRPr="005957CD">
          <w:rPr>
            <w:noProof/>
            <w:webHidden/>
          </w:rPr>
          <w:t>8</w:t>
        </w:r>
        <w:r w:rsidRPr="005957CD">
          <w:rPr>
            <w:noProof/>
            <w:webHidden/>
          </w:rPr>
          <w:fldChar w:fldCharType="end"/>
        </w:r>
      </w:hyperlink>
    </w:p>
    <w:p w14:paraId="70BC4D07" w14:textId="4E6ACE35" w:rsidR="00E021C8" w:rsidRPr="005957CD" w:rsidRDefault="00E021C8">
      <w:pPr>
        <w:pStyle w:val="TOC2"/>
        <w:rPr>
          <w:rFonts w:asciiTheme="minorHAnsi" w:eastAsiaTheme="minorEastAsia" w:hAnsiTheme="minorHAnsi" w:cstheme="minorBidi"/>
          <w:noProof/>
          <w:lang w:eastAsia="en-GB"/>
        </w:rPr>
      </w:pPr>
      <w:hyperlink w:anchor="_Toc153880788" w:history="1">
        <w:r w:rsidRPr="005957CD">
          <w:rPr>
            <w:rStyle w:val="Hyperlink"/>
            <w:noProof/>
          </w:rPr>
          <w:t>11.</w:t>
        </w:r>
        <w:r w:rsidRPr="005957CD">
          <w:rPr>
            <w:rFonts w:asciiTheme="minorHAnsi" w:eastAsiaTheme="minorEastAsia" w:hAnsiTheme="minorHAnsi" w:cstheme="minorBidi"/>
            <w:noProof/>
            <w:lang w:eastAsia="en-GB"/>
          </w:rPr>
          <w:tab/>
        </w:r>
        <w:r w:rsidRPr="005957CD">
          <w:rPr>
            <w:rStyle w:val="Hyperlink"/>
            <w:noProof/>
          </w:rPr>
          <w:t>Transparency</w:t>
        </w:r>
        <w:r w:rsidRPr="005957CD">
          <w:rPr>
            <w:noProof/>
            <w:webHidden/>
          </w:rPr>
          <w:tab/>
        </w:r>
        <w:r w:rsidRPr="005957CD">
          <w:rPr>
            <w:noProof/>
            <w:webHidden/>
          </w:rPr>
          <w:fldChar w:fldCharType="begin"/>
        </w:r>
        <w:r w:rsidRPr="005957CD">
          <w:rPr>
            <w:noProof/>
            <w:webHidden/>
          </w:rPr>
          <w:instrText xml:space="preserve"> PAGEREF _Toc153880788 \h </w:instrText>
        </w:r>
        <w:r w:rsidRPr="005957CD">
          <w:rPr>
            <w:noProof/>
            <w:webHidden/>
          </w:rPr>
        </w:r>
        <w:r w:rsidRPr="005957CD">
          <w:rPr>
            <w:noProof/>
            <w:webHidden/>
          </w:rPr>
          <w:fldChar w:fldCharType="separate"/>
        </w:r>
        <w:r w:rsidRPr="005957CD">
          <w:rPr>
            <w:noProof/>
            <w:webHidden/>
          </w:rPr>
          <w:t>8</w:t>
        </w:r>
        <w:r w:rsidRPr="005957CD">
          <w:rPr>
            <w:noProof/>
            <w:webHidden/>
          </w:rPr>
          <w:fldChar w:fldCharType="end"/>
        </w:r>
      </w:hyperlink>
    </w:p>
    <w:p w14:paraId="02E40227" w14:textId="3E6A1801" w:rsidR="00E021C8" w:rsidRPr="005957CD" w:rsidRDefault="00E021C8">
      <w:pPr>
        <w:pStyle w:val="TOC2"/>
        <w:rPr>
          <w:rFonts w:asciiTheme="minorHAnsi" w:eastAsiaTheme="minorEastAsia" w:hAnsiTheme="minorHAnsi" w:cstheme="minorBidi"/>
          <w:noProof/>
          <w:lang w:eastAsia="en-GB"/>
        </w:rPr>
      </w:pPr>
      <w:hyperlink w:anchor="_Toc153880789" w:history="1">
        <w:r w:rsidRPr="005957CD">
          <w:rPr>
            <w:rStyle w:val="Hyperlink"/>
            <w:noProof/>
          </w:rPr>
          <w:t>12.</w:t>
        </w:r>
        <w:r w:rsidRPr="005957CD">
          <w:rPr>
            <w:rFonts w:asciiTheme="minorHAnsi" w:eastAsiaTheme="minorEastAsia" w:hAnsiTheme="minorHAnsi" w:cstheme="minorBidi"/>
            <w:noProof/>
            <w:lang w:eastAsia="en-GB"/>
          </w:rPr>
          <w:tab/>
        </w:r>
        <w:r w:rsidRPr="005957CD">
          <w:rPr>
            <w:rStyle w:val="Hyperlink"/>
            <w:noProof/>
          </w:rPr>
          <w:t>How will the data sharing be carried out?</w:t>
        </w:r>
        <w:r w:rsidRPr="005957CD">
          <w:rPr>
            <w:noProof/>
            <w:webHidden/>
          </w:rPr>
          <w:tab/>
        </w:r>
        <w:r w:rsidRPr="005957CD">
          <w:rPr>
            <w:noProof/>
            <w:webHidden/>
          </w:rPr>
          <w:fldChar w:fldCharType="begin"/>
        </w:r>
        <w:r w:rsidRPr="005957CD">
          <w:rPr>
            <w:noProof/>
            <w:webHidden/>
          </w:rPr>
          <w:instrText xml:space="preserve"> PAGEREF _Toc153880789 \h </w:instrText>
        </w:r>
        <w:r w:rsidRPr="005957CD">
          <w:rPr>
            <w:noProof/>
            <w:webHidden/>
          </w:rPr>
        </w:r>
        <w:r w:rsidRPr="005957CD">
          <w:rPr>
            <w:noProof/>
            <w:webHidden/>
          </w:rPr>
          <w:fldChar w:fldCharType="separate"/>
        </w:r>
        <w:r w:rsidRPr="005957CD">
          <w:rPr>
            <w:noProof/>
            <w:webHidden/>
          </w:rPr>
          <w:t>8</w:t>
        </w:r>
        <w:r w:rsidRPr="005957CD">
          <w:rPr>
            <w:noProof/>
            <w:webHidden/>
          </w:rPr>
          <w:fldChar w:fldCharType="end"/>
        </w:r>
      </w:hyperlink>
    </w:p>
    <w:p w14:paraId="00334858" w14:textId="1A0A1082" w:rsidR="00E021C8" w:rsidRPr="005957CD" w:rsidRDefault="00E021C8">
      <w:pPr>
        <w:pStyle w:val="TOC2"/>
        <w:rPr>
          <w:rFonts w:asciiTheme="minorHAnsi" w:eastAsiaTheme="minorEastAsia" w:hAnsiTheme="minorHAnsi" w:cstheme="minorBidi"/>
          <w:noProof/>
          <w:lang w:eastAsia="en-GB"/>
        </w:rPr>
      </w:pPr>
      <w:hyperlink w:anchor="_Toc153880790" w:history="1">
        <w:r w:rsidRPr="005957CD">
          <w:rPr>
            <w:rStyle w:val="Hyperlink"/>
            <w:noProof/>
          </w:rPr>
          <w:t>13.</w:t>
        </w:r>
        <w:r w:rsidRPr="005957CD">
          <w:rPr>
            <w:rFonts w:asciiTheme="minorHAnsi" w:eastAsiaTheme="minorEastAsia" w:hAnsiTheme="minorHAnsi" w:cstheme="minorBidi"/>
            <w:noProof/>
            <w:lang w:eastAsia="en-GB"/>
          </w:rPr>
          <w:tab/>
        </w:r>
        <w:r w:rsidRPr="005957CD">
          <w:rPr>
            <w:rStyle w:val="Hyperlink"/>
            <w:noProof/>
          </w:rPr>
          <w:t>Accuracy of the data being shared</w:t>
        </w:r>
        <w:r w:rsidRPr="005957CD">
          <w:rPr>
            <w:noProof/>
            <w:webHidden/>
          </w:rPr>
          <w:tab/>
        </w:r>
        <w:r w:rsidRPr="005957CD">
          <w:rPr>
            <w:noProof/>
            <w:webHidden/>
          </w:rPr>
          <w:fldChar w:fldCharType="begin"/>
        </w:r>
        <w:r w:rsidRPr="005957CD">
          <w:rPr>
            <w:noProof/>
            <w:webHidden/>
          </w:rPr>
          <w:instrText xml:space="preserve"> PAGEREF _Toc153880790 \h </w:instrText>
        </w:r>
        <w:r w:rsidRPr="005957CD">
          <w:rPr>
            <w:noProof/>
            <w:webHidden/>
          </w:rPr>
        </w:r>
        <w:r w:rsidRPr="005957CD">
          <w:rPr>
            <w:noProof/>
            <w:webHidden/>
          </w:rPr>
          <w:fldChar w:fldCharType="separate"/>
        </w:r>
        <w:r w:rsidRPr="005957CD">
          <w:rPr>
            <w:noProof/>
            <w:webHidden/>
          </w:rPr>
          <w:t>9</w:t>
        </w:r>
        <w:r w:rsidRPr="005957CD">
          <w:rPr>
            <w:noProof/>
            <w:webHidden/>
          </w:rPr>
          <w:fldChar w:fldCharType="end"/>
        </w:r>
      </w:hyperlink>
    </w:p>
    <w:p w14:paraId="4A6B17F6" w14:textId="5F460124" w:rsidR="00E021C8" w:rsidRPr="005957CD" w:rsidRDefault="00E021C8">
      <w:pPr>
        <w:pStyle w:val="TOC2"/>
        <w:rPr>
          <w:rFonts w:asciiTheme="minorHAnsi" w:eastAsiaTheme="minorEastAsia" w:hAnsiTheme="minorHAnsi" w:cstheme="minorBidi"/>
          <w:noProof/>
          <w:lang w:eastAsia="en-GB"/>
        </w:rPr>
      </w:pPr>
      <w:hyperlink w:anchor="_Toc153880791" w:history="1">
        <w:r w:rsidRPr="005957CD">
          <w:rPr>
            <w:rStyle w:val="Hyperlink"/>
            <w:noProof/>
          </w:rPr>
          <w:t>14.</w:t>
        </w:r>
        <w:r w:rsidRPr="005957CD">
          <w:rPr>
            <w:rFonts w:asciiTheme="minorHAnsi" w:eastAsiaTheme="minorEastAsia" w:hAnsiTheme="minorHAnsi" w:cstheme="minorBidi"/>
            <w:noProof/>
            <w:lang w:eastAsia="en-GB"/>
          </w:rPr>
          <w:tab/>
        </w:r>
        <w:r w:rsidRPr="005957CD">
          <w:rPr>
            <w:rStyle w:val="Hyperlink"/>
            <w:noProof/>
          </w:rPr>
          <w:t>Rectification of data that has been shared</w:t>
        </w:r>
        <w:r w:rsidRPr="005957CD">
          <w:rPr>
            <w:noProof/>
            <w:webHidden/>
          </w:rPr>
          <w:tab/>
        </w:r>
        <w:r w:rsidRPr="005957CD">
          <w:rPr>
            <w:noProof/>
            <w:webHidden/>
          </w:rPr>
          <w:fldChar w:fldCharType="begin"/>
        </w:r>
        <w:r w:rsidRPr="005957CD">
          <w:rPr>
            <w:noProof/>
            <w:webHidden/>
          </w:rPr>
          <w:instrText xml:space="preserve"> PAGEREF _Toc153880791 \h </w:instrText>
        </w:r>
        <w:r w:rsidRPr="005957CD">
          <w:rPr>
            <w:noProof/>
            <w:webHidden/>
          </w:rPr>
        </w:r>
        <w:r w:rsidRPr="005957CD">
          <w:rPr>
            <w:noProof/>
            <w:webHidden/>
          </w:rPr>
          <w:fldChar w:fldCharType="separate"/>
        </w:r>
        <w:r w:rsidRPr="005957CD">
          <w:rPr>
            <w:noProof/>
            <w:webHidden/>
          </w:rPr>
          <w:t>9</w:t>
        </w:r>
        <w:r w:rsidRPr="005957CD">
          <w:rPr>
            <w:noProof/>
            <w:webHidden/>
          </w:rPr>
          <w:fldChar w:fldCharType="end"/>
        </w:r>
      </w:hyperlink>
    </w:p>
    <w:p w14:paraId="0983077D" w14:textId="01F64308" w:rsidR="00E021C8" w:rsidRPr="005957CD" w:rsidRDefault="00E021C8">
      <w:pPr>
        <w:pStyle w:val="TOC2"/>
        <w:rPr>
          <w:rFonts w:asciiTheme="minorHAnsi" w:eastAsiaTheme="minorEastAsia" w:hAnsiTheme="minorHAnsi" w:cstheme="minorBidi"/>
          <w:noProof/>
          <w:lang w:eastAsia="en-GB"/>
        </w:rPr>
      </w:pPr>
      <w:hyperlink w:anchor="_Toc153880792" w:history="1">
        <w:r w:rsidRPr="005957CD">
          <w:rPr>
            <w:rStyle w:val="Hyperlink"/>
            <w:noProof/>
          </w:rPr>
          <w:t>15.</w:t>
        </w:r>
        <w:r w:rsidRPr="005957CD">
          <w:rPr>
            <w:rFonts w:asciiTheme="minorHAnsi" w:eastAsiaTheme="minorEastAsia" w:hAnsiTheme="minorHAnsi" w:cstheme="minorBidi"/>
            <w:noProof/>
            <w:lang w:eastAsia="en-GB"/>
          </w:rPr>
          <w:tab/>
        </w:r>
        <w:r w:rsidRPr="005957CD">
          <w:rPr>
            <w:rStyle w:val="Hyperlink"/>
            <w:noProof/>
          </w:rPr>
          <w:t>Retention and disposal requirements for the information to be shared.</w:t>
        </w:r>
        <w:r w:rsidRPr="005957CD">
          <w:rPr>
            <w:noProof/>
            <w:webHidden/>
          </w:rPr>
          <w:tab/>
        </w:r>
        <w:r w:rsidRPr="005957CD">
          <w:rPr>
            <w:noProof/>
            <w:webHidden/>
          </w:rPr>
          <w:fldChar w:fldCharType="begin"/>
        </w:r>
        <w:r w:rsidRPr="005957CD">
          <w:rPr>
            <w:noProof/>
            <w:webHidden/>
          </w:rPr>
          <w:instrText xml:space="preserve"> PAGEREF _Toc153880792 \h </w:instrText>
        </w:r>
        <w:r w:rsidRPr="005957CD">
          <w:rPr>
            <w:noProof/>
            <w:webHidden/>
          </w:rPr>
        </w:r>
        <w:r w:rsidRPr="005957CD">
          <w:rPr>
            <w:noProof/>
            <w:webHidden/>
          </w:rPr>
          <w:fldChar w:fldCharType="separate"/>
        </w:r>
        <w:r w:rsidRPr="005957CD">
          <w:rPr>
            <w:noProof/>
            <w:webHidden/>
          </w:rPr>
          <w:t>9</w:t>
        </w:r>
        <w:r w:rsidRPr="005957CD">
          <w:rPr>
            <w:noProof/>
            <w:webHidden/>
          </w:rPr>
          <w:fldChar w:fldCharType="end"/>
        </w:r>
      </w:hyperlink>
    </w:p>
    <w:p w14:paraId="02C308CD" w14:textId="37D70CF8" w:rsidR="00E021C8" w:rsidRPr="005957CD" w:rsidRDefault="00E021C8">
      <w:pPr>
        <w:pStyle w:val="TOC2"/>
        <w:rPr>
          <w:rFonts w:asciiTheme="minorHAnsi" w:eastAsiaTheme="minorEastAsia" w:hAnsiTheme="minorHAnsi" w:cstheme="minorBidi"/>
          <w:noProof/>
          <w:lang w:eastAsia="en-GB"/>
        </w:rPr>
      </w:pPr>
      <w:hyperlink w:anchor="_Toc153880793" w:history="1">
        <w:r w:rsidRPr="005957CD">
          <w:rPr>
            <w:rStyle w:val="Hyperlink"/>
            <w:noProof/>
          </w:rPr>
          <w:t>16.</w:t>
        </w:r>
        <w:r w:rsidRPr="005957CD">
          <w:rPr>
            <w:rFonts w:asciiTheme="minorHAnsi" w:eastAsiaTheme="minorEastAsia" w:hAnsiTheme="minorHAnsi" w:cstheme="minorBidi"/>
            <w:noProof/>
            <w:lang w:eastAsia="en-GB"/>
          </w:rPr>
          <w:tab/>
        </w:r>
        <w:r w:rsidRPr="005957CD">
          <w:rPr>
            <w:rStyle w:val="Hyperlink"/>
            <w:noProof/>
          </w:rPr>
          <w:t>Breach management</w:t>
        </w:r>
        <w:r w:rsidRPr="005957CD">
          <w:rPr>
            <w:noProof/>
            <w:webHidden/>
          </w:rPr>
          <w:tab/>
        </w:r>
        <w:r w:rsidRPr="005957CD">
          <w:rPr>
            <w:noProof/>
            <w:webHidden/>
          </w:rPr>
          <w:fldChar w:fldCharType="begin"/>
        </w:r>
        <w:r w:rsidRPr="005957CD">
          <w:rPr>
            <w:noProof/>
            <w:webHidden/>
          </w:rPr>
          <w:instrText xml:space="preserve"> PAGEREF _Toc153880793 \h </w:instrText>
        </w:r>
        <w:r w:rsidRPr="005957CD">
          <w:rPr>
            <w:noProof/>
            <w:webHidden/>
          </w:rPr>
        </w:r>
        <w:r w:rsidRPr="005957CD">
          <w:rPr>
            <w:noProof/>
            <w:webHidden/>
          </w:rPr>
          <w:fldChar w:fldCharType="separate"/>
        </w:r>
        <w:r w:rsidRPr="005957CD">
          <w:rPr>
            <w:noProof/>
            <w:webHidden/>
          </w:rPr>
          <w:t>9</w:t>
        </w:r>
        <w:r w:rsidRPr="005957CD">
          <w:rPr>
            <w:noProof/>
            <w:webHidden/>
          </w:rPr>
          <w:fldChar w:fldCharType="end"/>
        </w:r>
      </w:hyperlink>
    </w:p>
    <w:p w14:paraId="0F355167" w14:textId="1626D281" w:rsidR="00E021C8" w:rsidRPr="005957CD" w:rsidRDefault="00E021C8">
      <w:pPr>
        <w:pStyle w:val="TOC2"/>
        <w:rPr>
          <w:rFonts w:asciiTheme="minorHAnsi" w:eastAsiaTheme="minorEastAsia" w:hAnsiTheme="minorHAnsi" w:cstheme="minorBidi"/>
          <w:noProof/>
          <w:lang w:eastAsia="en-GB"/>
        </w:rPr>
      </w:pPr>
      <w:hyperlink w:anchor="_Toc153880794" w:history="1">
        <w:r w:rsidRPr="005957CD">
          <w:rPr>
            <w:rStyle w:val="Hyperlink"/>
            <w:noProof/>
          </w:rPr>
          <w:t>17.</w:t>
        </w:r>
        <w:r w:rsidRPr="005957CD">
          <w:rPr>
            <w:rFonts w:asciiTheme="minorHAnsi" w:eastAsiaTheme="minorEastAsia" w:hAnsiTheme="minorHAnsi" w:cstheme="minorBidi"/>
            <w:noProof/>
            <w:lang w:eastAsia="en-GB"/>
          </w:rPr>
          <w:tab/>
        </w:r>
        <w:r w:rsidRPr="005957CD">
          <w:rPr>
            <w:rStyle w:val="Hyperlink"/>
            <w:noProof/>
          </w:rPr>
          <w:t>State what each organisation will be responsible for by the terms of this agreement</w:t>
        </w:r>
        <w:r w:rsidRPr="005957CD">
          <w:rPr>
            <w:noProof/>
            <w:webHidden/>
          </w:rPr>
          <w:tab/>
        </w:r>
        <w:r w:rsidRPr="005957CD">
          <w:rPr>
            <w:noProof/>
            <w:webHidden/>
          </w:rPr>
          <w:fldChar w:fldCharType="begin"/>
        </w:r>
        <w:r w:rsidRPr="005957CD">
          <w:rPr>
            <w:noProof/>
            <w:webHidden/>
          </w:rPr>
          <w:instrText xml:space="preserve"> PAGEREF _Toc153880794 \h </w:instrText>
        </w:r>
        <w:r w:rsidRPr="005957CD">
          <w:rPr>
            <w:noProof/>
            <w:webHidden/>
          </w:rPr>
        </w:r>
        <w:r w:rsidRPr="005957CD">
          <w:rPr>
            <w:noProof/>
            <w:webHidden/>
          </w:rPr>
          <w:fldChar w:fldCharType="separate"/>
        </w:r>
        <w:r w:rsidRPr="005957CD">
          <w:rPr>
            <w:noProof/>
            <w:webHidden/>
          </w:rPr>
          <w:t>10</w:t>
        </w:r>
        <w:r w:rsidRPr="005957CD">
          <w:rPr>
            <w:noProof/>
            <w:webHidden/>
          </w:rPr>
          <w:fldChar w:fldCharType="end"/>
        </w:r>
      </w:hyperlink>
    </w:p>
    <w:p w14:paraId="0B80A75A" w14:textId="14F672DE" w:rsidR="00E021C8" w:rsidRPr="005957CD" w:rsidRDefault="00E021C8">
      <w:pPr>
        <w:pStyle w:val="TOC2"/>
        <w:rPr>
          <w:rFonts w:asciiTheme="minorHAnsi" w:eastAsiaTheme="minorEastAsia" w:hAnsiTheme="minorHAnsi" w:cstheme="minorBidi"/>
          <w:noProof/>
          <w:lang w:eastAsia="en-GB"/>
        </w:rPr>
      </w:pPr>
      <w:hyperlink w:anchor="_Toc153880795" w:history="1">
        <w:r w:rsidRPr="005957CD">
          <w:rPr>
            <w:rStyle w:val="Hyperlink"/>
            <w:noProof/>
          </w:rPr>
          <w:t>18.</w:t>
        </w:r>
        <w:r w:rsidRPr="005957CD">
          <w:rPr>
            <w:rFonts w:asciiTheme="minorHAnsi" w:eastAsiaTheme="minorEastAsia" w:hAnsiTheme="minorHAnsi" w:cstheme="minorBidi"/>
            <w:noProof/>
            <w:lang w:eastAsia="en-GB"/>
          </w:rPr>
          <w:tab/>
        </w:r>
        <w:r w:rsidRPr="005957CD">
          <w:rPr>
            <w:rStyle w:val="Hyperlink"/>
            <w:noProof/>
          </w:rPr>
          <w:t>Contacts – Information Governance (IG) and Caldicott Guardian</w:t>
        </w:r>
        <w:r w:rsidRPr="005957CD">
          <w:rPr>
            <w:noProof/>
            <w:webHidden/>
          </w:rPr>
          <w:tab/>
        </w:r>
        <w:r w:rsidRPr="005957CD">
          <w:rPr>
            <w:noProof/>
            <w:webHidden/>
          </w:rPr>
          <w:fldChar w:fldCharType="begin"/>
        </w:r>
        <w:r w:rsidRPr="005957CD">
          <w:rPr>
            <w:noProof/>
            <w:webHidden/>
          </w:rPr>
          <w:instrText xml:space="preserve"> PAGEREF _Toc153880795 \h </w:instrText>
        </w:r>
        <w:r w:rsidRPr="005957CD">
          <w:rPr>
            <w:noProof/>
            <w:webHidden/>
          </w:rPr>
        </w:r>
        <w:r w:rsidRPr="005957CD">
          <w:rPr>
            <w:noProof/>
            <w:webHidden/>
          </w:rPr>
          <w:fldChar w:fldCharType="separate"/>
        </w:r>
        <w:r w:rsidRPr="005957CD">
          <w:rPr>
            <w:noProof/>
            <w:webHidden/>
          </w:rPr>
          <w:t>10</w:t>
        </w:r>
        <w:r w:rsidRPr="005957CD">
          <w:rPr>
            <w:noProof/>
            <w:webHidden/>
          </w:rPr>
          <w:fldChar w:fldCharType="end"/>
        </w:r>
      </w:hyperlink>
    </w:p>
    <w:p w14:paraId="61A0E463" w14:textId="30A02C4B" w:rsidR="00E021C8" w:rsidRPr="005957CD" w:rsidRDefault="00E021C8">
      <w:pPr>
        <w:pStyle w:val="TOC2"/>
        <w:rPr>
          <w:rFonts w:asciiTheme="minorHAnsi" w:eastAsiaTheme="minorEastAsia" w:hAnsiTheme="minorHAnsi" w:cstheme="minorBidi"/>
          <w:noProof/>
          <w:lang w:eastAsia="en-GB"/>
        </w:rPr>
      </w:pPr>
      <w:hyperlink w:anchor="_Toc153880796" w:history="1">
        <w:r w:rsidRPr="005957CD">
          <w:rPr>
            <w:rStyle w:val="Hyperlink"/>
            <w:noProof/>
          </w:rPr>
          <w:t>19.</w:t>
        </w:r>
        <w:r w:rsidRPr="005957CD">
          <w:rPr>
            <w:rFonts w:asciiTheme="minorHAnsi" w:eastAsiaTheme="minorEastAsia" w:hAnsiTheme="minorHAnsi" w:cstheme="minorBidi"/>
            <w:noProof/>
            <w:lang w:eastAsia="en-GB"/>
          </w:rPr>
          <w:tab/>
        </w:r>
        <w:r w:rsidRPr="005957CD">
          <w:rPr>
            <w:rStyle w:val="Hyperlink"/>
            <w:noProof/>
          </w:rPr>
          <w:t>Start date of the agreement</w:t>
        </w:r>
        <w:r w:rsidRPr="005957CD">
          <w:rPr>
            <w:noProof/>
            <w:webHidden/>
          </w:rPr>
          <w:tab/>
        </w:r>
        <w:r w:rsidRPr="005957CD">
          <w:rPr>
            <w:noProof/>
            <w:webHidden/>
          </w:rPr>
          <w:fldChar w:fldCharType="begin"/>
        </w:r>
        <w:r w:rsidRPr="005957CD">
          <w:rPr>
            <w:noProof/>
            <w:webHidden/>
          </w:rPr>
          <w:instrText xml:space="preserve"> PAGEREF _Toc153880796 \h </w:instrText>
        </w:r>
        <w:r w:rsidRPr="005957CD">
          <w:rPr>
            <w:noProof/>
            <w:webHidden/>
          </w:rPr>
        </w:r>
        <w:r w:rsidRPr="005957CD">
          <w:rPr>
            <w:noProof/>
            <w:webHidden/>
          </w:rPr>
          <w:fldChar w:fldCharType="separate"/>
        </w:r>
        <w:r w:rsidRPr="005957CD">
          <w:rPr>
            <w:noProof/>
            <w:webHidden/>
          </w:rPr>
          <w:t>10</w:t>
        </w:r>
        <w:r w:rsidRPr="005957CD">
          <w:rPr>
            <w:noProof/>
            <w:webHidden/>
          </w:rPr>
          <w:fldChar w:fldCharType="end"/>
        </w:r>
      </w:hyperlink>
    </w:p>
    <w:p w14:paraId="746688BF" w14:textId="156B1780" w:rsidR="00E021C8" w:rsidRPr="005957CD" w:rsidRDefault="00E021C8">
      <w:pPr>
        <w:pStyle w:val="TOC2"/>
        <w:rPr>
          <w:rFonts w:asciiTheme="minorHAnsi" w:eastAsiaTheme="minorEastAsia" w:hAnsiTheme="minorHAnsi" w:cstheme="minorBidi"/>
          <w:noProof/>
          <w:lang w:eastAsia="en-GB"/>
        </w:rPr>
      </w:pPr>
      <w:hyperlink w:anchor="_Toc153880797" w:history="1">
        <w:r w:rsidRPr="005957CD">
          <w:rPr>
            <w:rStyle w:val="Hyperlink"/>
            <w:noProof/>
          </w:rPr>
          <w:t>20.</w:t>
        </w:r>
        <w:r w:rsidRPr="005957CD">
          <w:rPr>
            <w:rFonts w:asciiTheme="minorHAnsi" w:eastAsiaTheme="minorEastAsia" w:hAnsiTheme="minorHAnsi" w:cstheme="minorBidi"/>
            <w:noProof/>
            <w:lang w:eastAsia="en-GB"/>
          </w:rPr>
          <w:tab/>
        </w:r>
        <w:r w:rsidRPr="005957CD">
          <w:rPr>
            <w:rStyle w:val="Hyperlink"/>
            <w:noProof/>
          </w:rPr>
          <w:t>Review of the agreement</w:t>
        </w:r>
        <w:r w:rsidRPr="005957CD">
          <w:rPr>
            <w:noProof/>
            <w:webHidden/>
          </w:rPr>
          <w:tab/>
        </w:r>
        <w:r w:rsidRPr="005957CD">
          <w:rPr>
            <w:noProof/>
            <w:webHidden/>
          </w:rPr>
          <w:fldChar w:fldCharType="begin"/>
        </w:r>
        <w:r w:rsidRPr="005957CD">
          <w:rPr>
            <w:noProof/>
            <w:webHidden/>
          </w:rPr>
          <w:instrText xml:space="preserve"> PAGEREF _Toc153880797 \h </w:instrText>
        </w:r>
        <w:r w:rsidRPr="005957CD">
          <w:rPr>
            <w:noProof/>
            <w:webHidden/>
          </w:rPr>
        </w:r>
        <w:r w:rsidRPr="005957CD">
          <w:rPr>
            <w:noProof/>
            <w:webHidden/>
          </w:rPr>
          <w:fldChar w:fldCharType="separate"/>
        </w:r>
        <w:r w:rsidRPr="005957CD">
          <w:rPr>
            <w:noProof/>
            <w:webHidden/>
          </w:rPr>
          <w:t>10</w:t>
        </w:r>
        <w:r w:rsidRPr="005957CD">
          <w:rPr>
            <w:noProof/>
            <w:webHidden/>
          </w:rPr>
          <w:fldChar w:fldCharType="end"/>
        </w:r>
      </w:hyperlink>
    </w:p>
    <w:p w14:paraId="1C98FEFA" w14:textId="01B0CBEC" w:rsidR="00E021C8" w:rsidRPr="005957CD" w:rsidRDefault="00E021C8">
      <w:pPr>
        <w:pStyle w:val="TOC2"/>
        <w:rPr>
          <w:rFonts w:asciiTheme="minorHAnsi" w:eastAsiaTheme="minorEastAsia" w:hAnsiTheme="minorHAnsi" w:cstheme="minorBidi"/>
          <w:noProof/>
          <w:lang w:eastAsia="en-GB"/>
        </w:rPr>
      </w:pPr>
      <w:hyperlink w:anchor="_Toc153880798" w:history="1">
        <w:r w:rsidRPr="005957CD">
          <w:rPr>
            <w:rStyle w:val="Hyperlink"/>
            <w:noProof/>
          </w:rPr>
          <w:t>21.</w:t>
        </w:r>
        <w:r w:rsidRPr="005957CD">
          <w:rPr>
            <w:rFonts w:asciiTheme="minorHAnsi" w:eastAsiaTheme="minorEastAsia" w:hAnsiTheme="minorHAnsi" w:cstheme="minorBidi"/>
            <w:noProof/>
            <w:lang w:eastAsia="en-GB"/>
          </w:rPr>
          <w:tab/>
        </w:r>
        <w:r w:rsidRPr="005957CD">
          <w:rPr>
            <w:rStyle w:val="Hyperlink"/>
            <w:noProof/>
          </w:rPr>
          <w:t>Review period</w:t>
        </w:r>
        <w:r w:rsidRPr="005957CD">
          <w:rPr>
            <w:noProof/>
            <w:webHidden/>
          </w:rPr>
          <w:tab/>
        </w:r>
        <w:r w:rsidRPr="005957CD">
          <w:rPr>
            <w:noProof/>
            <w:webHidden/>
          </w:rPr>
          <w:fldChar w:fldCharType="begin"/>
        </w:r>
        <w:r w:rsidRPr="005957CD">
          <w:rPr>
            <w:noProof/>
            <w:webHidden/>
          </w:rPr>
          <w:instrText xml:space="preserve"> PAGEREF _Toc153880798 \h </w:instrText>
        </w:r>
        <w:r w:rsidRPr="005957CD">
          <w:rPr>
            <w:noProof/>
            <w:webHidden/>
          </w:rPr>
        </w:r>
        <w:r w:rsidRPr="005957CD">
          <w:rPr>
            <w:noProof/>
            <w:webHidden/>
          </w:rPr>
          <w:fldChar w:fldCharType="separate"/>
        </w:r>
        <w:r w:rsidRPr="005957CD">
          <w:rPr>
            <w:noProof/>
            <w:webHidden/>
          </w:rPr>
          <w:t>11</w:t>
        </w:r>
        <w:r w:rsidRPr="005957CD">
          <w:rPr>
            <w:noProof/>
            <w:webHidden/>
          </w:rPr>
          <w:fldChar w:fldCharType="end"/>
        </w:r>
      </w:hyperlink>
    </w:p>
    <w:p w14:paraId="347A6C67" w14:textId="493316FC" w:rsidR="00E021C8" w:rsidRPr="005957CD" w:rsidRDefault="00E021C8">
      <w:pPr>
        <w:pStyle w:val="TOC2"/>
        <w:rPr>
          <w:rFonts w:asciiTheme="minorHAnsi" w:eastAsiaTheme="minorEastAsia" w:hAnsiTheme="minorHAnsi" w:cstheme="minorBidi"/>
          <w:noProof/>
          <w:lang w:eastAsia="en-GB"/>
        </w:rPr>
      </w:pPr>
      <w:hyperlink w:anchor="_Toc153880799" w:history="1">
        <w:r w:rsidRPr="005957CD">
          <w:rPr>
            <w:rStyle w:val="Hyperlink"/>
            <w:noProof/>
          </w:rPr>
          <w:t>22.</w:t>
        </w:r>
        <w:r w:rsidRPr="005957CD">
          <w:rPr>
            <w:rFonts w:asciiTheme="minorHAnsi" w:eastAsiaTheme="minorEastAsia" w:hAnsiTheme="minorHAnsi" w:cstheme="minorBidi"/>
            <w:noProof/>
            <w:lang w:eastAsia="en-GB"/>
          </w:rPr>
          <w:tab/>
        </w:r>
        <w:r w:rsidRPr="005957CD">
          <w:rPr>
            <w:rStyle w:val="Hyperlink"/>
            <w:noProof/>
          </w:rPr>
          <w:t>Variation</w:t>
        </w:r>
        <w:r w:rsidRPr="005957CD">
          <w:rPr>
            <w:noProof/>
            <w:webHidden/>
          </w:rPr>
          <w:tab/>
        </w:r>
        <w:r w:rsidRPr="005957CD">
          <w:rPr>
            <w:noProof/>
            <w:webHidden/>
          </w:rPr>
          <w:fldChar w:fldCharType="begin"/>
        </w:r>
        <w:r w:rsidRPr="005957CD">
          <w:rPr>
            <w:noProof/>
            <w:webHidden/>
          </w:rPr>
          <w:instrText xml:space="preserve"> PAGEREF _Toc153880799 \h </w:instrText>
        </w:r>
        <w:r w:rsidRPr="005957CD">
          <w:rPr>
            <w:noProof/>
            <w:webHidden/>
          </w:rPr>
        </w:r>
        <w:r w:rsidRPr="005957CD">
          <w:rPr>
            <w:noProof/>
            <w:webHidden/>
          </w:rPr>
          <w:fldChar w:fldCharType="separate"/>
        </w:r>
        <w:r w:rsidRPr="005957CD">
          <w:rPr>
            <w:noProof/>
            <w:webHidden/>
          </w:rPr>
          <w:t>11</w:t>
        </w:r>
        <w:r w:rsidRPr="005957CD">
          <w:rPr>
            <w:noProof/>
            <w:webHidden/>
          </w:rPr>
          <w:fldChar w:fldCharType="end"/>
        </w:r>
      </w:hyperlink>
    </w:p>
    <w:p w14:paraId="579D6C01" w14:textId="2447A236" w:rsidR="00E021C8" w:rsidRPr="005957CD" w:rsidRDefault="00E021C8">
      <w:pPr>
        <w:pStyle w:val="TOC2"/>
        <w:rPr>
          <w:rFonts w:asciiTheme="minorHAnsi" w:eastAsiaTheme="minorEastAsia" w:hAnsiTheme="minorHAnsi" w:cstheme="minorBidi"/>
          <w:noProof/>
          <w:lang w:eastAsia="en-GB"/>
        </w:rPr>
      </w:pPr>
      <w:hyperlink w:anchor="_Toc153880800" w:history="1">
        <w:r w:rsidRPr="005957CD">
          <w:rPr>
            <w:rStyle w:val="Hyperlink"/>
            <w:noProof/>
          </w:rPr>
          <w:t>23.</w:t>
        </w:r>
        <w:r w:rsidRPr="005957CD">
          <w:rPr>
            <w:rFonts w:asciiTheme="minorHAnsi" w:eastAsiaTheme="minorEastAsia" w:hAnsiTheme="minorHAnsi" w:cstheme="minorBidi"/>
            <w:noProof/>
            <w:lang w:eastAsia="en-GB"/>
          </w:rPr>
          <w:tab/>
        </w:r>
        <w:r w:rsidRPr="005957CD">
          <w:rPr>
            <w:rStyle w:val="Hyperlink"/>
            <w:noProof/>
          </w:rPr>
          <w:t>Ending the agreement</w:t>
        </w:r>
        <w:r w:rsidRPr="005957CD">
          <w:rPr>
            <w:noProof/>
            <w:webHidden/>
          </w:rPr>
          <w:tab/>
        </w:r>
        <w:r w:rsidRPr="005957CD">
          <w:rPr>
            <w:noProof/>
            <w:webHidden/>
          </w:rPr>
          <w:fldChar w:fldCharType="begin"/>
        </w:r>
        <w:r w:rsidRPr="005957CD">
          <w:rPr>
            <w:noProof/>
            <w:webHidden/>
          </w:rPr>
          <w:instrText xml:space="preserve"> PAGEREF _Toc153880800 \h </w:instrText>
        </w:r>
        <w:r w:rsidRPr="005957CD">
          <w:rPr>
            <w:noProof/>
            <w:webHidden/>
          </w:rPr>
        </w:r>
        <w:r w:rsidRPr="005957CD">
          <w:rPr>
            <w:noProof/>
            <w:webHidden/>
          </w:rPr>
          <w:fldChar w:fldCharType="separate"/>
        </w:r>
        <w:r w:rsidRPr="005957CD">
          <w:rPr>
            <w:noProof/>
            <w:webHidden/>
          </w:rPr>
          <w:t>11</w:t>
        </w:r>
        <w:r w:rsidRPr="005957CD">
          <w:rPr>
            <w:noProof/>
            <w:webHidden/>
          </w:rPr>
          <w:fldChar w:fldCharType="end"/>
        </w:r>
      </w:hyperlink>
    </w:p>
    <w:p w14:paraId="4D45523B" w14:textId="08002BBA" w:rsidR="00E021C8" w:rsidRPr="005957CD" w:rsidRDefault="00E021C8">
      <w:pPr>
        <w:pStyle w:val="TOC2"/>
        <w:rPr>
          <w:rFonts w:asciiTheme="minorHAnsi" w:eastAsiaTheme="minorEastAsia" w:hAnsiTheme="minorHAnsi" w:cstheme="minorBidi"/>
          <w:noProof/>
          <w:lang w:eastAsia="en-GB"/>
        </w:rPr>
      </w:pPr>
      <w:hyperlink w:anchor="_Toc153880801" w:history="1">
        <w:r w:rsidRPr="005957CD">
          <w:rPr>
            <w:rStyle w:val="Hyperlink"/>
            <w:noProof/>
          </w:rPr>
          <w:t>24.</w:t>
        </w:r>
        <w:r w:rsidRPr="005957CD">
          <w:rPr>
            <w:rFonts w:asciiTheme="minorHAnsi" w:eastAsiaTheme="minorEastAsia" w:hAnsiTheme="minorHAnsi" w:cstheme="minorBidi"/>
            <w:noProof/>
            <w:lang w:eastAsia="en-GB"/>
          </w:rPr>
          <w:tab/>
        </w:r>
        <w:r w:rsidRPr="005957CD">
          <w:rPr>
            <w:rStyle w:val="Hyperlink"/>
            <w:noProof/>
          </w:rPr>
          <w:t>End date</w:t>
        </w:r>
        <w:r w:rsidRPr="005957CD">
          <w:rPr>
            <w:noProof/>
            <w:webHidden/>
          </w:rPr>
          <w:tab/>
        </w:r>
        <w:r w:rsidRPr="005957CD">
          <w:rPr>
            <w:noProof/>
            <w:webHidden/>
          </w:rPr>
          <w:fldChar w:fldCharType="begin"/>
        </w:r>
        <w:r w:rsidRPr="005957CD">
          <w:rPr>
            <w:noProof/>
            <w:webHidden/>
          </w:rPr>
          <w:instrText xml:space="preserve"> PAGEREF _Toc153880801 \h </w:instrText>
        </w:r>
        <w:r w:rsidRPr="005957CD">
          <w:rPr>
            <w:noProof/>
            <w:webHidden/>
          </w:rPr>
        </w:r>
        <w:r w:rsidRPr="005957CD">
          <w:rPr>
            <w:noProof/>
            <w:webHidden/>
          </w:rPr>
          <w:fldChar w:fldCharType="separate"/>
        </w:r>
        <w:r w:rsidRPr="005957CD">
          <w:rPr>
            <w:noProof/>
            <w:webHidden/>
          </w:rPr>
          <w:t>11</w:t>
        </w:r>
        <w:r w:rsidRPr="005957CD">
          <w:rPr>
            <w:noProof/>
            <w:webHidden/>
          </w:rPr>
          <w:fldChar w:fldCharType="end"/>
        </w:r>
      </w:hyperlink>
    </w:p>
    <w:p w14:paraId="7770828A" w14:textId="6F45E1AF" w:rsidR="00E021C8" w:rsidRPr="005957CD" w:rsidRDefault="00E021C8">
      <w:pPr>
        <w:pStyle w:val="TOC2"/>
        <w:rPr>
          <w:rFonts w:asciiTheme="minorHAnsi" w:eastAsiaTheme="minorEastAsia" w:hAnsiTheme="minorHAnsi" w:cstheme="minorBidi"/>
          <w:noProof/>
          <w:lang w:eastAsia="en-GB"/>
        </w:rPr>
      </w:pPr>
      <w:hyperlink w:anchor="_Toc153880802" w:history="1">
        <w:r w:rsidRPr="005957CD">
          <w:rPr>
            <w:rStyle w:val="Hyperlink"/>
            <w:noProof/>
          </w:rPr>
          <w:t>25.</w:t>
        </w:r>
        <w:r w:rsidRPr="005957CD">
          <w:rPr>
            <w:rFonts w:asciiTheme="minorHAnsi" w:eastAsiaTheme="minorEastAsia" w:hAnsiTheme="minorHAnsi" w:cstheme="minorBidi"/>
            <w:noProof/>
            <w:lang w:eastAsia="en-GB"/>
          </w:rPr>
          <w:tab/>
        </w:r>
        <w:r w:rsidRPr="005957CD">
          <w:rPr>
            <w:rStyle w:val="Hyperlink"/>
            <w:noProof/>
          </w:rPr>
          <w:t>Signatories</w:t>
        </w:r>
        <w:r w:rsidRPr="005957CD">
          <w:rPr>
            <w:noProof/>
            <w:webHidden/>
          </w:rPr>
          <w:tab/>
        </w:r>
        <w:r w:rsidRPr="005957CD">
          <w:rPr>
            <w:noProof/>
            <w:webHidden/>
          </w:rPr>
          <w:fldChar w:fldCharType="begin"/>
        </w:r>
        <w:r w:rsidRPr="005957CD">
          <w:rPr>
            <w:noProof/>
            <w:webHidden/>
          </w:rPr>
          <w:instrText xml:space="preserve"> PAGEREF _Toc153880802 \h </w:instrText>
        </w:r>
        <w:r w:rsidRPr="005957CD">
          <w:rPr>
            <w:noProof/>
            <w:webHidden/>
          </w:rPr>
        </w:r>
        <w:r w:rsidRPr="005957CD">
          <w:rPr>
            <w:noProof/>
            <w:webHidden/>
          </w:rPr>
          <w:fldChar w:fldCharType="separate"/>
        </w:r>
        <w:r w:rsidRPr="005957CD">
          <w:rPr>
            <w:noProof/>
            <w:webHidden/>
          </w:rPr>
          <w:t>11</w:t>
        </w:r>
        <w:r w:rsidRPr="005957CD">
          <w:rPr>
            <w:noProof/>
            <w:webHidden/>
          </w:rPr>
          <w:fldChar w:fldCharType="end"/>
        </w:r>
      </w:hyperlink>
    </w:p>
    <w:p w14:paraId="324CD18F" w14:textId="2632B3AB" w:rsidR="00E021C8" w:rsidRPr="005957CD" w:rsidRDefault="00E021C8">
      <w:pPr>
        <w:pStyle w:val="TOC1"/>
        <w:rPr>
          <w:rFonts w:asciiTheme="minorHAnsi" w:eastAsiaTheme="minorEastAsia" w:hAnsiTheme="minorHAnsi" w:cstheme="minorBidi"/>
          <w:noProof/>
          <w:lang w:eastAsia="en-GB"/>
        </w:rPr>
      </w:pPr>
      <w:hyperlink w:anchor="_Toc153880803" w:history="1">
        <w:r w:rsidRPr="005957CD">
          <w:rPr>
            <w:rStyle w:val="Hyperlink"/>
            <w:noProof/>
          </w:rPr>
          <w:t>Appendix A – List of Participants signing this DSA and IG and Caldicott Guardian contacts</w:t>
        </w:r>
        <w:r w:rsidRPr="005957CD">
          <w:rPr>
            <w:noProof/>
            <w:webHidden/>
          </w:rPr>
          <w:tab/>
        </w:r>
        <w:r w:rsidRPr="005957CD">
          <w:rPr>
            <w:noProof/>
            <w:webHidden/>
          </w:rPr>
          <w:fldChar w:fldCharType="begin"/>
        </w:r>
        <w:r w:rsidRPr="005957CD">
          <w:rPr>
            <w:noProof/>
            <w:webHidden/>
          </w:rPr>
          <w:instrText xml:space="preserve"> PAGEREF _Toc153880803 \h </w:instrText>
        </w:r>
        <w:r w:rsidRPr="005957CD">
          <w:rPr>
            <w:noProof/>
            <w:webHidden/>
          </w:rPr>
        </w:r>
        <w:r w:rsidRPr="005957CD">
          <w:rPr>
            <w:noProof/>
            <w:webHidden/>
          </w:rPr>
          <w:fldChar w:fldCharType="separate"/>
        </w:r>
        <w:r w:rsidRPr="005957CD">
          <w:rPr>
            <w:noProof/>
            <w:webHidden/>
          </w:rPr>
          <w:t>13</w:t>
        </w:r>
        <w:r w:rsidRPr="005957CD">
          <w:rPr>
            <w:noProof/>
            <w:webHidden/>
          </w:rPr>
          <w:fldChar w:fldCharType="end"/>
        </w:r>
      </w:hyperlink>
    </w:p>
    <w:p w14:paraId="4810244E" w14:textId="1097E76D" w:rsidR="00E021C8" w:rsidRPr="005957CD" w:rsidRDefault="00E021C8">
      <w:pPr>
        <w:pStyle w:val="TOC1"/>
        <w:rPr>
          <w:rFonts w:asciiTheme="minorHAnsi" w:eastAsiaTheme="minorEastAsia" w:hAnsiTheme="minorHAnsi" w:cstheme="minorBidi"/>
          <w:noProof/>
          <w:lang w:eastAsia="en-GB"/>
        </w:rPr>
      </w:pPr>
      <w:hyperlink w:anchor="_Toc153880804" w:history="1">
        <w:r w:rsidRPr="005957CD">
          <w:rPr>
            <w:rStyle w:val="Hyperlink"/>
            <w:noProof/>
          </w:rPr>
          <w:t>Appendix B – List of Additional Users signing this DSA and IG and Caldicott Guardian contacts</w:t>
        </w:r>
        <w:r w:rsidRPr="005957CD">
          <w:rPr>
            <w:noProof/>
            <w:webHidden/>
          </w:rPr>
          <w:tab/>
        </w:r>
        <w:r w:rsidRPr="005957CD">
          <w:rPr>
            <w:noProof/>
            <w:webHidden/>
          </w:rPr>
          <w:fldChar w:fldCharType="begin"/>
        </w:r>
        <w:r w:rsidRPr="005957CD">
          <w:rPr>
            <w:noProof/>
            <w:webHidden/>
          </w:rPr>
          <w:instrText xml:space="preserve"> PAGEREF _Toc153880804 \h </w:instrText>
        </w:r>
        <w:r w:rsidRPr="005957CD">
          <w:rPr>
            <w:noProof/>
            <w:webHidden/>
          </w:rPr>
        </w:r>
        <w:r w:rsidRPr="005957CD">
          <w:rPr>
            <w:noProof/>
            <w:webHidden/>
          </w:rPr>
          <w:fldChar w:fldCharType="separate"/>
        </w:r>
        <w:r w:rsidRPr="005957CD">
          <w:rPr>
            <w:noProof/>
            <w:webHidden/>
          </w:rPr>
          <w:t>14</w:t>
        </w:r>
        <w:r w:rsidRPr="005957CD">
          <w:rPr>
            <w:noProof/>
            <w:webHidden/>
          </w:rPr>
          <w:fldChar w:fldCharType="end"/>
        </w:r>
      </w:hyperlink>
    </w:p>
    <w:p w14:paraId="2E4D9782" w14:textId="41180F34" w:rsidR="00E021C8" w:rsidRPr="005957CD" w:rsidRDefault="00E021C8">
      <w:pPr>
        <w:pStyle w:val="TOC1"/>
        <w:rPr>
          <w:rFonts w:asciiTheme="minorHAnsi" w:eastAsiaTheme="minorEastAsia" w:hAnsiTheme="minorHAnsi" w:cstheme="minorBidi"/>
          <w:noProof/>
          <w:lang w:eastAsia="en-GB"/>
        </w:rPr>
      </w:pPr>
      <w:hyperlink w:anchor="_Toc153880805" w:history="1">
        <w:r w:rsidRPr="005957CD">
          <w:rPr>
            <w:rStyle w:val="Hyperlink"/>
            <w:noProof/>
          </w:rPr>
          <w:t>Appendix C - Rules of Engagement relating to the GM Care Record</w:t>
        </w:r>
        <w:r w:rsidRPr="005957CD">
          <w:rPr>
            <w:noProof/>
            <w:webHidden/>
          </w:rPr>
          <w:tab/>
        </w:r>
        <w:r w:rsidRPr="005957CD">
          <w:rPr>
            <w:noProof/>
            <w:webHidden/>
          </w:rPr>
          <w:fldChar w:fldCharType="begin"/>
        </w:r>
        <w:r w:rsidRPr="005957CD">
          <w:rPr>
            <w:noProof/>
            <w:webHidden/>
          </w:rPr>
          <w:instrText xml:space="preserve"> PAGEREF _Toc153880805 \h </w:instrText>
        </w:r>
        <w:r w:rsidRPr="005957CD">
          <w:rPr>
            <w:noProof/>
            <w:webHidden/>
          </w:rPr>
        </w:r>
        <w:r w:rsidRPr="005957CD">
          <w:rPr>
            <w:noProof/>
            <w:webHidden/>
          </w:rPr>
          <w:fldChar w:fldCharType="separate"/>
        </w:r>
        <w:r w:rsidRPr="005957CD">
          <w:rPr>
            <w:noProof/>
            <w:webHidden/>
          </w:rPr>
          <w:t>15</w:t>
        </w:r>
        <w:r w:rsidRPr="005957CD">
          <w:rPr>
            <w:noProof/>
            <w:webHidden/>
          </w:rPr>
          <w:fldChar w:fldCharType="end"/>
        </w:r>
      </w:hyperlink>
    </w:p>
    <w:p w14:paraId="71BA2187" w14:textId="4FAE92AD" w:rsidR="00E021C8" w:rsidRPr="005957CD" w:rsidRDefault="00E021C8">
      <w:pPr>
        <w:pStyle w:val="TOC1"/>
        <w:rPr>
          <w:rFonts w:asciiTheme="minorHAnsi" w:eastAsiaTheme="minorEastAsia" w:hAnsiTheme="minorHAnsi" w:cstheme="minorBidi"/>
          <w:noProof/>
          <w:lang w:eastAsia="en-GB"/>
        </w:rPr>
      </w:pPr>
      <w:hyperlink w:anchor="_Toc153880806" w:history="1">
        <w:r w:rsidRPr="005957CD">
          <w:rPr>
            <w:rStyle w:val="Hyperlink"/>
            <w:noProof/>
          </w:rPr>
          <w:t>Appendix D – Form of joining addendum</w:t>
        </w:r>
        <w:r w:rsidRPr="005957CD">
          <w:rPr>
            <w:noProof/>
            <w:webHidden/>
          </w:rPr>
          <w:tab/>
        </w:r>
        <w:r w:rsidRPr="005957CD">
          <w:rPr>
            <w:noProof/>
            <w:webHidden/>
          </w:rPr>
          <w:fldChar w:fldCharType="begin"/>
        </w:r>
        <w:r w:rsidRPr="005957CD">
          <w:rPr>
            <w:noProof/>
            <w:webHidden/>
          </w:rPr>
          <w:instrText xml:space="preserve"> PAGEREF _Toc153880806 \h </w:instrText>
        </w:r>
        <w:r w:rsidRPr="005957CD">
          <w:rPr>
            <w:noProof/>
            <w:webHidden/>
          </w:rPr>
        </w:r>
        <w:r w:rsidRPr="005957CD">
          <w:rPr>
            <w:noProof/>
            <w:webHidden/>
          </w:rPr>
          <w:fldChar w:fldCharType="separate"/>
        </w:r>
        <w:r w:rsidRPr="005957CD">
          <w:rPr>
            <w:noProof/>
            <w:webHidden/>
          </w:rPr>
          <w:t>23</w:t>
        </w:r>
        <w:r w:rsidRPr="005957CD">
          <w:rPr>
            <w:noProof/>
            <w:webHidden/>
          </w:rPr>
          <w:fldChar w:fldCharType="end"/>
        </w:r>
      </w:hyperlink>
    </w:p>
    <w:p w14:paraId="0CA526F1" w14:textId="7E5B7317" w:rsidR="00E021C8" w:rsidRPr="005957CD" w:rsidRDefault="00E021C8">
      <w:pPr>
        <w:pStyle w:val="TOC1"/>
        <w:rPr>
          <w:rFonts w:asciiTheme="minorHAnsi" w:eastAsiaTheme="minorEastAsia" w:hAnsiTheme="minorHAnsi" w:cstheme="minorBidi"/>
          <w:noProof/>
          <w:lang w:eastAsia="en-GB"/>
        </w:rPr>
      </w:pPr>
      <w:hyperlink w:anchor="_Toc153880807" w:history="1">
        <w:r w:rsidRPr="005957CD">
          <w:rPr>
            <w:rStyle w:val="Hyperlink"/>
            <w:noProof/>
          </w:rPr>
          <w:t>Appendix E - Joining Addendum - Pennine MSK Partnership Limited</w:t>
        </w:r>
        <w:r w:rsidRPr="005957CD">
          <w:rPr>
            <w:noProof/>
            <w:webHidden/>
          </w:rPr>
          <w:tab/>
        </w:r>
        <w:r w:rsidRPr="005957CD">
          <w:rPr>
            <w:noProof/>
            <w:webHidden/>
          </w:rPr>
          <w:fldChar w:fldCharType="begin"/>
        </w:r>
        <w:r w:rsidRPr="005957CD">
          <w:rPr>
            <w:noProof/>
            <w:webHidden/>
          </w:rPr>
          <w:instrText xml:space="preserve"> PAGEREF _Toc153880807 \h </w:instrText>
        </w:r>
        <w:r w:rsidRPr="005957CD">
          <w:rPr>
            <w:noProof/>
            <w:webHidden/>
          </w:rPr>
        </w:r>
        <w:r w:rsidRPr="005957CD">
          <w:rPr>
            <w:noProof/>
            <w:webHidden/>
          </w:rPr>
          <w:fldChar w:fldCharType="separate"/>
        </w:r>
        <w:r w:rsidRPr="005957CD">
          <w:rPr>
            <w:noProof/>
            <w:webHidden/>
          </w:rPr>
          <w:t>23</w:t>
        </w:r>
        <w:r w:rsidRPr="005957CD">
          <w:rPr>
            <w:noProof/>
            <w:webHidden/>
          </w:rPr>
          <w:fldChar w:fldCharType="end"/>
        </w:r>
      </w:hyperlink>
    </w:p>
    <w:p w14:paraId="36D3986F" w14:textId="3E95DEE0" w:rsidR="00E021C8" w:rsidRPr="005957CD" w:rsidRDefault="00E021C8">
      <w:pPr>
        <w:pStyle w:val="TOC1"/>
        <w:rPr>
          <w:rFonts w:asciiTheme="minorHAnsi" w:eastAsiaTheme="minorEastAsia" w:hAnsiTheme="minorHAnsi" w:cstheme="minorBidi"/>
          <w:noProof/>
          <w:lang w:eastAsia="en-GB"/>
        </w:rPr>
      </w:pPr>
      <w:hyperlink w:anchor="_Toc153880808" w:history="1">
        <w:r w:rsidRPr="005957CD">
          <w:rPr>
            <w:rStyle w:val="Hyperlink"/>
            <w:noProof/>
          </w:rPr>
          <w:t>Appendix F – Joining Addendum - Liverpool University Hospital NHS Foundation Trust</w:t>
        </w:r>
        <w:r w:rsidRPr="005957CD">
          <w:rPr>
            <w:noProof/>
            <w:webHidden/>
          </w:rPr>
          <w:tab/>
        </w:r>
        <w:r w:rsidRPr="005957CD">
          <w:rPr>
            <w:noProof/>
            <w:webHidden/>
          </w:rPr>
          <w:fldChar w:fldCharType="begin"/>
        </w:r>
        <w:r w:rsidRPr="005957CD">
          <w:rPr>
            <w:noProof/>
            <w:webHidden/>
          </w:rPr>
          <w:instrText xml:space="preserve"> PAGEREF _Toc153880808 \h </w:instrText>
        </w:r>
        <w:r w:rsidRPr="005957CD">
          <w:rPr>
            <w:noProof/>
            <w:webHidden/>
          </w:rPr>
        </w:r>
        <w:r w:rsidRPr="005957CD">
          <w:rPr>
            <w:noProof/>
            <w:webHidden/>
          </w:rPr>
          <w:fldChar w:fldCharType="separate"/>
        </w:r>
        <w:r w:rsidRPr="005957CD">
          <w:rPr>
            <w:noProof/>
            <w:webHidden/>
          </w:rPr>
          <w:t>23</w:t>
        </w:r>
        <w:r w:rsidRPr="005957CD">
          <w:rPr>
            <w:noProof/>
            <w:webHidden/>
          </w:rPr>
          <w:fldChar w:fldCharType="end"/>
        </w:r>
      </w:hyperlink>
    </w:p>
    <w:p w14:paraId="6E8BAC98" w14:textId="775FDCF5" w:rsidR="00E021C8" w:rsidRPr="005957CD" w:rsidRDefault="00E021C8">
      <w:pPr>
        <w:pStyle w:val="TOC1"/>
        <w:rPr>
          <w:rFonts w:asciiTheme="minorHAnsi" w:eastAsiaTheme="minorEastAsia" w:hAnsiTheme="minorHAnsi" w:cstheme="minorBidi"/>
          <w:noProof/>
          <w:lang w:eastAsia="en-GB"/>
        </w:rPr>
      </w:pPr>
      <w:hyperlink w:anchor="_Toc153880809" w:history="1">
        <w:r w:rsidRPr="005957CD">
          <w:rPr>
            <w:rStyle w:val="Hyperlink"/>
            <w:noProof/>
          </w:rPr>
          <w:t>Appendix G – Joining Addendum - GM Wide Community Pharmacies</w:t>
        </w:r>
        <w:r w:rsidRPr="005957CD">
          <w:rPr>
            <w:noProof/>
            <w:webHidden/>
          </w:rPr>
          <w:tab/>
        </w:r>
        <w:r w:rsidRPr="005957CD">
          <w:rPr>
            <w:noProof/>
            <w:webHidden/>
          </w:rPr>
          <w:fldChar w:fldCharType="begin"/>
        </w:r>
        <w:r w:rsidRPr="005957CD">
          <w:rPr>
            <w:noProof/>
            <w:webHidden/>
          </w:rPr>
          <w:instrText xml:space="preserve"> PAGEREF _Toc153880809 \h </w:instrText>
        </w:r>
        <w:r w:rsidRPr="005957CD">
          <w:rPr>
            <w:noProof/>
            <w:webHidden/>
          </w:rPr>
        </w:r>
        <w:r w:rsidRPr="005957CD">
          <w:rPr>
            <w:noProof/>
            <w:webHidden/>
          </w:rPr>
          <w:fldChar w:fldCharType="separate"/>
        </w:r>
        <w:r w:rsidRPr="005957CD">
          <w:rPr>
            <w:noProof/>
            <w:webHidden/>
          </w:rPr>
          <w:t>24</w:t>
        </w:r>
        <w:r w:rsidRPr="005957CD">
          <w:rPr>
            <w:noProof/>
            <w:webHidden/>
          </w:rPr>
          <w:fldChar w:fldCharType="end"/>
        </w:r>
      </w:hyperlink>
    </w:p>
    <w:p w14:paraId="6A73416E" w14:textId="7F692DFD" w:rsidR="008777CC" w:rsidRDefault="00B64C36" w:rsidP="00B76878">
      <w:pPr>
        <w:pStyle w:val="Level3"/>
        <w:keepNext w:val="0"/>
        <w:widowControl w:val="0"/>
        <w:suppressAutoHyphens w:val="0"/>
        <w:spacing w:line="252" w:lineRule="auto"/>
        <w:sectPr w:rsidR="008777CC" w:rsidSect="00645850">
          <w:pgSz w:w="11907" w:h="16840"/>
          <w:pgMar w:top="1440" w:right="1440" w:bottom="1440" w:left="1440" w:header="720" w:footer="720" w:gutter="0"/>
          <w:cols w:space="720"/>
          <w:docGrid w:linePitch="299"/>
        </w:sectPr>
      </w:pPr>
      <w:r w:rsidRPr="005957CD">
        <w:fldChar w:fldCharType="end"/>
      </w:r>
    </w:p>
    <w:p w14:paraId="66ED4CB0" w14:textId="09A18F83" w:rsidR="00BA42A8" w:rsidRPr="004E3648" w:rsidRDefault="00372AF4" w:rsidP="00B76878">
      <w:pPr>
        <w:pStyle w:val="Heading2"/>
        <w:keepNext w:val="0"/>
        <w:widowControl w:val="0"/>
        <w:suppressAutoHyphens w:val="0"/>
        <w:spacing w:line="252" w:lineRule="auto"/>
      </w:pPr>
      <w:bookmarkStart w:id="0" w:name="_Toc89094104"/>
      <w:bookmarkStart w:id="1" w:name="_Toc153880778"/>
      <w:r>
        <w:lastRenderedPageBreak/>
        <w:t>Parties</w:t>
      </w:r>
      <w:r w:rsidR="00D70988">
        <w:t>:</w:t>
      </w:r>
      <w:bookmarkEnd w:id="0"/>
      <w:bookmarkEnd w:id="1"/>
      <w:r w:rsidR="00D70988">
        <w:t xml:space="preserve"> </w:t>
      </w:r>
    </w:p>
    <w:p w14:paraId="38A3F9BE" w14:textId="2B084844" w:rsidR="00BA42A8" w:rsidRPr="004E3648" w:rsidRDefault="00D70988" w:rsidP="00B76878">
      <w:pPr>
        <w:pStyle w:val="Heading3"/>
        <w:keepNext w:val="0"/>
        <w:widowControl w:val="0"/>
        <w:suppressAutoHyphens w:val="0"/>
      </w:pPr>
      <w:r w:rsidRPr="004E3648">
        <w:t>See Appendi</w:t>
      </w:r>
      <w:r w:rsidR="008A51B6" w:rsidRPr="004E3648">
        <w:t xml:space="preserve">ces </w:t>
      </w:r>
      <w:r w:rsidRPr="004E3648">
        <w:t>A</w:t>
      </w:r>
      <w:r w:rsidR="008A51B6" w:rsidRPr="004E3648">
        <w:t xml:space="preserve"> (</w:t>
      </w:r>
      <w:r w:rsidR="002D42B8" w:rsidRPr="004E3648">
        <w:t>Participants</w:t>
      </w:r>
      <w:r w:rsidR="008A51B6" w:rsidRPr="004E3648">
        <w:t>) and B (</w:t>
      </w:r>
      <w:r w:rsidR="00E20884" w:rsidRPr="004E3648">
        <w:t>Additional Authorities</w:t>
      </w:r>
      <w:r w:rsidR="008A51B6" w:rsidRPr="004E3648">
        <w:t>)</w:t>
      </w:r>
      <w:r w:rsidRPr="004E3648">
        <w:t xml:space="preserve">. </w:t>
      </w:r>
    </w:p>
    <w:p w14:paraId="5E4AE720" w14:textId="6511B6F4" w:rsidR="00ED5077" w:rsidRPr="004E3648" w:rsidRDefault="00D70988" w:rsidP="00B76878">
      <w:pPr>
        <w:pStyle w:val="Heading3"/>
        <w:keepNext w:val="0"/>
        <w:widowControl w:val="0"/>
        <w:suppressAutoHyphens w:val="0"/>
      </w:pPr>
      <w:r w:rsidRPr="004E3648">
        <w:t>For accountability purposes, the N</w:t>
      </w:r>
      <w:r w:rsidR="00372AF4" w:rsidRPr="004E3648">
        <w:t xml:space="preserve">orthern Care </w:t>
      </w:r>
      <w:r w:rsidRPr="004E3648">
        <w:t>A</w:t>
      </w:r>
      <w:r w:rsidR="00372AF4" w:rsidRPr="004E3648">
        <w:t>lliance</w:t>
      </w:r>
      <w:r w:rsidRPr="004E3648">
        <w:t xml:space="preserve"> NHS Foundation Trust will be acting as the representative for the controllers or “lead controller” for certain elements as set out within this </w:t>
      </w:r>
      <w:r w:rsidR="00E70BED" w:rsidRPr="004E3648">
        <w:t>DSA</w:t>
      </w:r>
      <w:r w:rsidRPr="004E3648">
        <w:t xml:space="preserve">. </w:t>
      </w:r>
      <w:r w:rsidR="008122F1" w:rsidRPr="004E3648">
        <w:t xml:space="preserve">See Paragraph </w:t>
      </w:r>
      <w:r w:rsidR="008122F1" w:rsidRPr="004E3648">
        <w:fldChar w:fldCharType="begin"/>
      </w:r>
      <w:r w:rsidR="008122F1" w:rsidRPr="004E3648">
        <w:instrText xml:space="preserve"> REF _Ref93480114 \r \h </w:instrText>
      </w:r>
      <w:r w:rsidR="00645A52" w:rsidRPr="004E3648">
        <w:instrText xml:space="preserve"> \* MERGEFORMAT </w:instrText>
      </w:r>
      <w:r w:rsidR="008122F1" w:rsidRPr="004E3648">
        <w:fldChar w:fldCharType="separate"/>
      </w:r>
      <w:r w:rsidR="000C6961">
        <w:t>4</w:t>
      </w:r>
      <w:r w:rsidR="008122F1" w:rsidRPr="004E3648">
        <w:fldChar w:fldCharType="end"/>
      </w:r>
      <w:r w:rsidR="008122F1" w:rsidRPr="004E3648">
        <w:t xml:space="preserve"> below.</w:t>
      </w:r>
      <w:r w:rsidR="007D6FDC" w:rsidRPr="004E3648">
        <w:t xml:space="preserve">  Th</w:t>
      </w:r>
      <w:r w:rsidR="00C54196" w:rsidRPr="004E3648">
        <w:t>e “lead controller”</w:t>
      </w:r>
      <w:r w:rsidR="004B2DF6" w:rsidRPr="004E3648">
        <w:t xml:space="preserve"> role </w:t>
      </w:r>
      <w:r w:rsidR="00C54196" w:rsidRPr="004E3648">
        <w:t xml:space="preserve">will subsequently be </w:t>
      </w:r>
      <w:r w:rsidR="0070240A" w:rsidRPr="004E3648">
        <w:t xml:space="preserve">transferred to </w:t>
      </w:r>
      <w:r w:rsidR="003B0EC5">
        <w:t>NHS GM</w:t>
      </w:r>
      <w:r w:rsidR="0070240A" w:rsidRPr="004E3648">
        <w:t>,</w:t>
      </w:r>
      <w:r w:rsidR="00C54196" w:rsidRPr="004E3648">
        <w:t xml:space="preserve"> once </w:t>
      </w:r>
      <w:r w:rsidR="003B0EC5">
        <w:t xml:space="preserve">it is </w:t>
      </w:r>
      <w:r w:rsidR="00C54196" w:rsidRPr="004E3648">
        <w:t>in a position to take over this role</w:t>
      </w:r>
      <w:r w:rsidR="00226BE2" w:rsidRPr="004E3648">
        <w:t xml:space="preserve"> on behalf of the GM Integrated Care System</w:t>
      </w:r>
      <w:r w:rsidR="008F6DCE" w:rsidRPr="004E3648">
        <w:t xml:space="preserve"> (ICS)</w:t>
      </w:r>
      <w:r w:rsidR="00C54196" w:rsidRPr="004E3648">
        <w:t>.</w:t>
      </w:r>
      <w:r w:rsidR="00ED5077" w:rsidRPr="004E3648">
        <w:t xml:space="preserve"> </w:t>
      </w:r>
    </w:p>
    <w:p w14:paraId="772F76E8" w14:textId="023EC840" w:rsidR="00422ACC" w:rsidRDefault="00422ACC" w:rsidP="00B76878">
      <w:pPr>
        <w:pStyle w:val="Heading2"/>
        <w:keepNext w:val="0"/>
        <w:widowControl w:val="0"/>
        <w:suppressAutoHyphens w:val="0"/>
        <w:spacing w:line="252" w:lineRule="auto"/>
      </w:pPr>
      <w:bookmarkStart w:id="2" w:name="_Toc153880779"/>
      <w:r>
        <w:t>Glossary</w:t>
      </w:r>
      <w:bookmarkStart w:id="3" w:name="_Toc89094105"/>
      <w:bookmarkEnd w:id="2"/>
    </w:p>
    <w:p w14:paraId="28987383" w14:textId="3408CAA1" w:rsidR="00422ACC" w:rsidRDefault="00422ACC" w:rsidP="00B76878">
      <w:pPr>
        <w:pStyle w:val="Heading3"/>
        <w:keepNext w:val="0"/>
        <w:widowControl w:val="0"/>
        <w:suppressAutoHyphens w:val="0"/>
      </w:pPr>
      <w:r>
        <w:t xml:space="preserve">In this DSA, the defined terms shall have the meaning given to them in the table below: </w:t>
      </w:r>
    </w:p>
    <w:tbl>
      <w:tblPr>
        <w:tblW w:w="9351" w:type="dxa"/>
        <w:tblLayout w:type="fixed"/>
        <w:tblCellMar>
          <w:left w:w="10" w:type="dxa"/>
          <w:right w:w="10" w:type="dxa"/>
        </w:tblCellMar>
        <w:tblLook w:val="04A0" w:firstRow="1" w:lastRow="0" w:firstColumn="1" w:lastColumn="0" w:noHBand="0" w:noVBand="1"/>
      </w:tblPr>
      <w:tblGrid>
        <w:gridCol w:w="1980"/>
        <w:gridCol w:w="7371"/>
      </w:tblGrid>
      <w:tr w:rsidR="000B23BB" w:rsidRPr="00C8085B" w14:paraId="419D96F4" w14:textId="77777777" w:rsidTr="00B768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3B8C0" w14:textId="77777777" w:rsidR="000B23BB" w:rsidRPr="00C8085B" w:rsidRDefault="000B23BB" w:rsidP="00B76878">
            <w:pPr>
              <w:widowControl w:val="0"/>
              <w:tabs>
                <w:tab w:val="left" w:pos="3407"/>
              </w:tabs>
              <w:suppressAutoHyphens w:val="0"/>
              <w:spacing w:line="252" w:lineRule="auto"/>
              <w:textAlignment w:val="auto"/>
            </w:pPr>
            <w:r>
              <w:t>Additional Authorities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37F75" w14:textId="5B9F8554" w:rsidR="000B23BB" w:rsidRPr="00C8085B" w:rsidRDefault="000B23BB" w:rsidP="00B76878">
            <w:pPr>
              <w:widowControl w:val="0"/>
              <w:tabs>
                <w:tab w:val="left" w:pos="3407"/>
              </w:tabs>
              <w:suppressAutoHyphens w:val="0"/>
              <w:spacing w:line="252" w:lineRule="auto"/>
              <w:textAlignment w:val="auto"/>
            </w:pPr>
            <w:r>
              <w:t>means t</w:t>
            </w:r>
            <w:r w:rsidRPr="00C8085B">
              <w:t xml:space="preserve">he </w:t>
            </w:r>
            <w:r>
              <w:t xml:space="preserve">health and social care organisations </w:t>
            </w:r>
            <w:r w:rsidR="00C23BB6">
              <w:t xml:space="preserve">commissioned </w:t>
            </w:r>
            <w:r>
              <w:t xml:space="preserve">by GM to provide services to </w:t>
            </w:r>
            <w:r w:rsidR="00801D42">
              <w:t>patient</w:t>
            </w:r>
            <w:r>
              <w:t xml:space="preserve">s </w:t>
            </w:r>
            <w:r w:rsidRPr="00B71129">
              <w:t>who have signed a Joining Form</w:t>
            </w:r>
            <w:r>
              <w:t xml:space="preserve"> and are listed in Appendix B</w:t>
            </w:r>
            <w:r w:rsidRPr="00C8085B">
              <w:t>;</w:t>
            </w:r>
          </w:p>
        </w:tc>
      </w:tr>
      <w:tr w:rsidR="000B23BB" w:rsidRPr="00C8085B" w14:paraId="3D0335F8" w14:textId="77777777" w:rsidTr="00B768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D43F" w14:textId="77777777" w:rsidR="000B23BB" w:rsidRDefault="000B23BB" w:rsidP="00B76878">
            <w:pPr>
              <w:widowControl w:val="0"/>
              <w:tabs>
                <w:tab w:val="left" w:pos="3407"/>
              </w:tabs>
              <w:suppressAutoHyphens w:val="0"/>
              <w:spacing w:line="252" w:lineRule="auto"/>
              <w:textAlignment w:val="auto"/>
            </w:pPr>
            <w:r>
              <w:t>Authorities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F6B47" w14:textId="11CAD12B" w:rsidR="000B23BB" w:rsidRDefault="000B23BB" w:rsidP="00B76878">
            <w:pPr>
              <w:widowControl w:val="0"/>
              <w:tabs>
                <w:tab w:val="left" w:pos="3407"/>
              </w:tabs>
              <w:suppressAutoHyphens w:val="0"/>
              <w:spacing w:line="252" w:lineRule="auto"/>
              <w:textAlignment w:val="auto"/>
            </w:pPr>
            <w:r>
              <w:t xml:space="preserve">means </w:t>
            </w:r>
            <w:r w:rsidRPr="00801D42">
              <w:t xml:space="preserve">the </w:t>
            </w:r>
            <w:r w:rsidR="002D42B8" w:rsidRPr="00CE44A5">
              <w:t>Participants</w:t>
            </w:r>
            <w:r w:rsidRPr="00801D42">
              <w:t xml:space="preserve"> and</w:t>
            </w:r>
            <w:r>
              <w:t xml:space="preserve"> the Additional Authorities;</w:t>
            </w:r>
          </w:p>
        </w:tc>
      </w:tr>
      <w:tr w:rsidR="000B23BB" w:rsidRPr="00C8085B" w14:paraId="7EC4443C" w14:textId="77777777" w:rsidTr="00CE44A5">
        <w:trPr>
          <w:trHeight w:val="482"/>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6028F" w14:textId="77777777" w:rsidR="000B23BB" w:rsidRDefault="000B23BB" w:rsidP="00B76878">
            <w:pPr>
              <w:widowControl w:val="0"/>
              <w:tabs>
                <w:tab w:val="left" w:pos="3407"/>
              </w:tabs>
              <w:suppressAutoHyphens w:val="0"/>
              <w:spacing w:line="252" w:lineRule="auto"/>
              <w:textAlignment w:val="auto"/>
            </w:pPr>
            <w:r>
              <w:t>DSA</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CD354" w14:textId="2FDF189A" w:rsidR="000B23BB" w:rsidRDefault="000B23BB" w:rsidP="00B76878">
            <w:pPr>
              <w:widowControl w:val="0"/>
              <w:tabs>
                <w:tab w:val="left" w:pos="3407"/>
              </w:tabs>
              <w:suppressAutoHyphens w:val="0"/>
              <w:spacing w:line="252" w:lineRule="auto"/>
              <w:textAlignment w:val="auto"/>
            </w:pPr>
            <w:r>
              <w:t>means this data sharing agreement</w:t>
            </w:r>
            <w:r w:rsidR="00A14CF8">
              <w:t xml:space="preserve"> and its appendices</w:t>
            </w:r>
            <w:r>
              <w:t>;</w:t>
            </w:r>
          </w:p>
        </w:tc>
      </w:tr>
      <w:tr w:rsidR="00801D42" w:rsidRPr="00C8085B" w:rsidDel="00163403" w14:paraId="6356F059" w14:textId="77777777" w:rsidTr="00B768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C92" w14:textId="277243F2" w:rsidR="00801D42" w:rsidDel="00163403" w:rsidRDefault="00801D42" w:rsidP="00B76878">
            <w:pPr>
              <w:widowControl w:val="0"/>
              <w:tabs>
                <w:tab w:val="left" w:pos="3407"/>
              </w:tabs>
              <w:suppressAutoHyphens w:val="0"/>
              <w:spacing w:line="252" w:lineRule="auto"/>
              <w:textAlignment w:val="auto"/>
            </w:pPr>
            <w:r>
              <w:t>GMCR</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E0C9E" w14:textId="0977A30C" w:rsidR="00801D42" w:rsidDel="00C74339" w:rsidRDefault="00801D42" w:rsidP="00B76878">
            <w:pPr>
              <w:widowControl w:val="0"/>
              <w:tabs>
                <w:tab w:val="left" w:pos="3407"/>
              </w:tabs>
              <w:suppressAutoHyphens w:val="0"/>
              <w:spacing w:line="252" w:lineRule="auto"/>
              <w:textAlignment w:val="auto"/>
            </w:pPr>
            <w:r>
              <w:t xml:space="preserve">means the Greater Manchester Care Record, </w:t>
            </w:r>
          </w:p>
        </w:tc>
      </w:tr>
      <w:tr w:rsidR="000B23BB" w:rsidRPr="00C8085B" w14:paraId="2CF9AD67" w14:textId="77777777" w:rsidTr="00B768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88D06" w14:textId="77777777" w:rsidR="000B23BB" w:rsidRDefault="000B23BB" w:rsidP="00B76878">
            <w:pPr>
              <w:widowControl w:val="0"/>
              <w:tabs>
                <w:tab w:val="left" w:pos="3407"/>
              </w:tabs>
              <w:suppressAutoHyphens w:val="0"/>
              <w:spacing w:line="252" w:lineRule="auto"/>
              <w:textAlignment w:val="auto"/>
            </w:pPr>
            <w:r w:rsidRPr="00C8085B">
              <w:t>GMCR Solution</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7078E" w14:textId="6BBAB583" w:rsidR="000B23BB" w:rsidRPr="00C8085B" w:rsidRDefault="000B23BB" w:rsidP="00B76878">
            <w:pPr>
              <w:widowControl w:val="0"/>
              <w:tabs>
                <w:tab w:val="left" w:pos="3407"/>
              </w:tabs>
              <w:suppressAutoHyphens w:val="0"/>
              <w:spacing w:line="252" w:lineRule="auto"/>
              <w:textAlignment w:val="auto"/>
            </w:pPr>
            <w:r>
              <w:t>means t</w:t>
            </w:r>
            <w:r w:rsidRPr="00C8085B">
              <w:t xml:space="preserve">he </w:t>
            </w:r>
            <w:r w:rsidR="00C80550">
              <w:t>IT solution</w:t>
            </w:r>
            <w:r w:rsidRPr="00C8085B">
              <w:t xml:space="preserve"> provided by Graphnet </w:t>
            </w:r>
            <w:r w:rsidR="008631D9">
              <w:t>that facilitates the GMCR</w:t>
            </w:r>
            <w:r w:rsidRPr="00C8085B">
              <w:t>;</w:t>
            </w:r>
          </w:p>
        </w:tc>
      </w:tr>
      <w:tr w:rsidR="001A2558" w:rsidRPr="00C8085B" w14:paraId="236BA301" w14:textId="77777777" w:rsidTr="00B768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9386" w14:textId="419C3FCF" w:rsidR="001A2558" w:rsidRPr="00C8085B" w:rsidRDefault="001A2558" w:rsidP="00B76878">
            <w:pPr>
              <w:widowControl w:val="0"/>
              <w:tabs>
                <w:tab w:val="left" w:pos="3407"/>
              </w:tabs>
              <w:suppressAutoHyphens w:val="0"/>
              <w:spacing w:line="252" w:lineRule="auto"/>
              <w:textAlignment w:val="auto"/>
            </w:pPr>
            <w:r>
              <w:t>GMSS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A41D0" w14:textId="3DEC93A1" w:rsidR="001A2558" w:rsidRDefault="00C16216" w:rsidP="00B76878">
            <w:pPr>
              <w:widowControl w:val="0"/>
              <w:tabs>
                <w:tab w:val="left" w:pos="3407"/>
              </w:tabs>
              <w:suppressAutoHyphens w:val="0"/>
              <w:spacing w:line="252" w:lineRule="auto"/>
              <w:textAlignment w:val="auto"/>
            </w:pPr>
            <w:r w:rsidRPr="00C16216">
              <w:t xml:space="preserve">means Greater Manchester Shared Services, an organisation </w:t>
            </w:r>
            <w:r w:rsidR="00CF1B5B">
              <w:t xml:space="preserve">that was </w:t>
            </w:r>
            <w:r w:rsidRPr="00C16216">
              <w:t>hosted by the NCA</w:t>
            </w:r>
            <w:r w:rsidR="00CF1B5B">
              <w:t xml:space="preserve"> and that merged </w:t>
            </w:r>
            <w:r w:rsidR="00A9166E">
              <w:t xml:space="preserve"> into  </w:t>
            </w:r>
            <w:r w:rsidR="00112E77">
              <w:t>NHS GM</w:t>
            </w:r>
            <w:r w:rsidR="00DD67FD">
              <w:t xml:space="preserve"> on 1 July 2022;</w:t>
            </w:r>
          </w:p>
        </w:tc>
      </w:tr>
      <w:tr w:rsidR="000B23BB" w:rsidRPr="00C8085B" w14:paraId="2A79D45E" w14:textId="77777777" w:rsidTr="00B768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E0198" w14:textId="77777777" w:rsidR="000B23BB" w:rsidRPr="00C8085B" w:rsidRDefault="000B23BB" w:rsidP="00B76878">
            <w:pPr>
              <w:widowControl w:val="0"/>
              <w:tabs>
                <w:tab w:val="left" w:pos="3407"/>
              </w:tabs>
              <w:suppressAutoHyphens w:val="0"/>
              <w:spacing w:line="252" w:lineRule="auto"/>
              <w:textAlignment w:val="auto"/>
            </w:pPr>
            <w:r w:rsidRPr="00C8085B">
              <w:t>Graphnet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FC809" w14:textId="74D24471" w:rsidR="000B23BB" w:rsidRPr="00C8085B" w:rsidRDefault="000B23BB" w:rsidP="00B76878">
            <w:pPr>
              <w:widowControl w:val="0"/>
              <w:tabs>
                <w:tab w:val="left" w:pos="3407"/>
              </w:tabs>
              <w:suppressAutoHyphens w:val="0"/>
              <w:spacing w:line="252" w:lineRule="auto"/>
              <w:textAlignment w:val="auto"/>
            </w:pPr>
            <w:r>
              <w:t xml:space="preserve">means </w:t>
            </w:r>
            <w:r w:rsidRPr="00C8085B">
              <w:t>Graphnet Health Limited</w:t>
            </w:r>
            <w:r w:rsidR="00DD67FD">
              <w:t xml:space="preserve">, the provider of the GMCR </w:t>
            </w:r>
            <w:r w:rsidR="00801D42">
              <w:t>S</w:t>
            </w:r>
            <w:r w:rsidR="00DD67FD">
              <w:t>olution</w:t>
            </w:r>
            <w:r w:rsidRPr="00C8085B">
              <w:t>;</w:t>
            </w:r>
          </w:p>
        </w:tc>
      </w:tr>
      <w:tr w:rsidR="000B23BB" w:rsidRPr="00C8085B" w14:paraId="05117A2C" w14:textId="77777777" w:rsidTr="00B768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9F3" w14:textId="70E77823" w:rsidR="000B23BB" w:rsidRPr="00C8085B" w:rsidRDefault="000B23BB" w:rsidP="00B76878">
            <w:pPr>
              <w:widowControl w:val="0"/>
              <w:tabs>
                <w:tab w:val="left" w:pos="3407"/>
              </w:tabs>
              <w:suppressAutoHyphens w:val="0"/>
              <w:spacing w:line="252" w:lineRule="auto"/>
              <w:textAlignment w:val="auto"/>
            </w:pPr>
            <w:r w:rsidRPr="00C8085B">
              <w:t xml:space="preserve">Graphnet </w:t>
            </w:r>
            <w:r w:rsidR="00830C06">
              <w:t xml:space="preserve">GMCR </w:t>
            </w:r>
            <w:r w:rsidRPr="00C8085B">
              <w:t>Contract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FD3E9" w14:textId="49F62B3C" w:rsidR="000B23BB" w:rsidRPr="00C8085B" w:rsidRDefault="000B23BB" w:rsidP="00B76878">
            <w:pPr>
              <w:widowControl w:val="0"/>
              <w:tabs>
                <w:tab w:val="left" w:pos="3407"/>
              </w:tabs>
              <w:suppressAutoHyphens w:val="0"/>
              <w:spacing w:line="252" w:lineRule="auto"/>
              <w:textAlignment w:val="auto"/>
            </w:pPr>
            <w:r>
              <w:t>means t</w:t>
            </w:r>
            <w:r w:rsidRPr="00C8085B">
              <w:t xml:space="preserve">he </w:t>
            </w:r>
            <w:r w:rsidR="00830C06">
              <w:t>managed services contract</w:t>
            </w:r>
            <w:r w:rsidR="001F529A">
              <w:t xml:space="preserve"> between Graphnet and </w:t>
            </w:r>
            <w:r w:rsidR="00F45F00">
              <w:t xml:space="preserve">GMSS hosted by </w:t>
            </w:r>
            <w:r w:rsidR="00B04370">
              <w:t xml:space="preserve">the </w:t>
            </w:r>
            <w:r w:rsidR="00F45F00">
              <w:t>NCA</w:t>
            </w:r>
            <w:r w:rsidR="0029474F" w:rsidRPr="00C8085B">
              <w:t xml:space="preserve"> </w:t>
            </w:r>
            <w:r w:rsidRPr="00C8085B">
              <w:t>dated 25 August 2021 for the provision, hosting and support of the GMCR Solution</w:t>
            </w:r>
            <w:r>
              <w:t xml:space="preserve"> </w:t>
            </w:r>
            <w:r w:rsidR="00801D42">
              <w:t>(</w:t>
            </w:r>
            <w:r w:rsidRPr="00326678">
              <w:t>as amended</w:t>
            </w:r>
            <w:r w:rsidR="00801D42">
              <w:t>)</w:t>
            </w:r>
            <w:r w:rsidR="00F45F00">
              <w:t xml:space="preserve"> </w:t>
            </w:r>
            <w:r w:rsidR="00B04370">
              <w:t>which was</w:t>
            </w:r>
            <w:r w:rsidR="00F45F00">
              <w:t xml:space="preserve"> </w:t>
            </w:r>
            <w:r w:rsidR="00993F24">
              <w:t xml:space="preserve">automatically </w:t>
            </w:r>
            <w:r w:rsidR="00F45F00">
              <w:t>novated from the NCA to NHS GM</w:t>
            </w:r>
            <w:r w:rsidR="00993F24">
              <w:t xml:space="preserve"> on 1</w:t>
            </w:r>
            <w:r w:rsidR="00993F24" w:rsidRPr="001B60A3">
              <w:rPr>
                <w:vertAlign w:val="superscript"/>
              </w:rPr>
              <w:t>st</w:t>
            </w:r>
            <w:r w:rsidR="00993F24">
              <w:t xml:space="preserve"> July 2022</w:t>
            </w:r>
            <w:r w:rsidRPr="00C8085B">
              <w:t xml:space="preserve">; </w:t>
            </w:r>
          </w:p>
        </w:tc>
      </w:tr>
      <w:tr w:rsidR="00317F5A" w:rsidRPr="00C8085B" w14:paraId="2A472648" w14:textId="77777777" w:rsidTr="00B768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FF250" w14:textId="13BA4EDC" w:rsidR="00317F5A" w:rsidRDefault="00317F5A" w:rsidP="00B76878">
            <w:pPr>
              <w:widowControl w:val="0"/>
              <w:tabs>
                <w:tab w:val="left" w:pos="3407"/>
              </w:tabs>
              <w:suppressAutoHyphens w:val="0"/>
              <w:spacing w:line="252" w:lineRule="auto"/>
              <w:textAlignment w:val="auto"/>
            </w:pPr>
            <w:r>
              <w:t>ICP</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FC64C" w14:textId="612255B8" w:rsidR="00317F5A" w:rsidRDefault="005E1AD0" w:rsidP="00B76878">
            <w:pPr>
              <w:widowControl w:val="0"/>
              <w:tabs>
                <w:tab w:val="left" w:pos="3407"/>
              </w:tabs>
              <w:suppressAutoHyphens w:val="0"/>
              <w:spacing w:line="252" w:lineRule="auto"/>
              <w:textAlignment w:val="auto"/>
            </w:pPr>
            <w:r>
              <w:t>m</w:t>
            </w:r>
            <w:r w:rsidR="00317F5A">
              <w:t>eans the Integrated Care Partnership</w:t>
            </w:r>
            <w:r w:rsidR="00F60DFB">
              <w:t>, a statutory committee</w:t>
            </w:r>
            <w:r w:rsidR="0025009D">
              <w:t xml:space="preserve">, bringing together all </w:t>
            </w:r>
            <w:r w:rsidR="005E7818">
              <w:t xml:space="preserve">health and care </w:t>
            </w:r>
            <w:r w:rsidR="0025009D">
              <w:t>system partners</w:t>
            </w:r>
            <w:r w:rsidR="005E7818">
              <w:t xml:space="preserve"> to produce a health and care strategy</w:t>
            </w:r>
            <w:r w:rsidR="009F056A">
              <w:t>;</w:t>
            </w:r>
          </w:p>
        </w:tc>
      </w:tr>
      <w:tr w:rsidR="008F6DCE" w:rsidRPr="00C8085B" w14:paraId="78D95AF1" w14:textId="77777777" w:rsidTr="00B768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539D9" w14:textId="7246014E" w:rsidR="008F6DCE" w:rsidRDefault="008F6DCE" w:rsidP="00B76878">
            <w:pPr>
              <w:widowControl w:val="0"/>
              <w:tabs>
                <w:tab w:val="left" w:pos="3407"/>
              </w:tabs>
              <w:suppressAutoHyphens w:val="0"/>
              <w:spacing w:line="252" w:lineRule="auto"/>
              <w:textAlignment w:val="auto"/>
            </w:pPr>
            <w:r>
              <w:t>ICS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928A7" w14:textId="7BB8613B" w:rsidR="008F6DCE" w:rsidRDefault="005E1AD0" w:rsidP="00B76878">
            <w:pPr>
              <w:widowControl w:val="0"/>
              <w:tabs>
                <w:tab w:val="left" w:pos="3407"/>
              </w:tabs>
              <w:suppressAutoHyphens w:val="0"/>
              <w:spacing w:line="252" w:lineRule="auto"/>
              <w:textAlignment w:val="auto"/>
            </w:pPr>
            <w:r>
              <w:t>m</w:t>
            </w:r>
            <w:r w:rsidR="008F6DCE">
              <w:t>eans the Integrated Care System</w:t>
            </w:r>
            <w:r w:rsidR="00317F5A">
              <w:t xml:space="preserve">, and includes the </w:t>
            </w:r>
            <w:r w:rsidR="008D2825">
              <w:t xml:space="preserve">NHS GM </w:t>
            </w:r>
            <w:r w:rsidR="00317F5A">
              <w:t>and ICP</w:t>
            </w:r>
            <w:r w:rsidR="003A238A">
              <w:t>;</w:t>
            </w:r>
          </w:p>
        </w:tc>
      </w:tr>
      <w:tr w:rsidR="000B23BB" w:rsidRPr="00C8085B" w14:paraId="791E9CC3" w14:textId="77777777" w:rsidTr="00B768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8AC60" w14:textId="77777777" w:rsidR="000B23BB" w:rsidRDefault="000B23BB" w:rsidP="00B76878">
            <w:pPr>
              <w:widowControl w:val="0"/>
              <w:tabs>
                <w:tab w:val="left" w:pos="3407"/>
              </w:tabs>
              <w:suppressAutoHyphens w:val="0"/>
              <w:spacing w:line="252" w:lineRule="auto"/>
              <w:textAlignment w:val="auto"/>
            </w:pPr>
            <w:r>
              <w:t>Joining Form</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98FCE" w14:textId="77777777" w:rsidR="000B23BB" w:rsidRDefault="000B23BB" w:rsidP="00B76878">
            <w:pPr>
              <w:widowControl w:val="0"/>
              <w:tabs>
                <w:tab w:val="left" w:pos="3407"/>
              </w:tabs>
              <w:suppressAutoHyphens w:val="0"/>
              <w:spacing w:line="252" w:lineRule="auto"/>
              <w:textAlignment w:val="auto"/>
            </w:pPr>
            <w:r>
              <w:t>means the form to be signed by any Additional Authorities wishing to be added as a user of the GMCR Solution in the form set out in Appendix C;</w:t>
            </w:r>
          </w:p>
        </w:tc>
      </w:tr>
      <w:tr w:rsidR="000B23BB" w:rsidRPr="00C8085B" w14:paraId="352D4580" w14:textId="77777777" w:rsidTr="00B768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0D742" w14:textId="77777777" w:rsidR="000B23BB" w:rsidRPr="00C8085B" w:rsidRDefault="000B23BB" w:rsidP="00B76878">
            <w:pPr>
              <w:widowControl w:val="0"/>
              <w:tabs>
                <w:tab w:val="left" w:pos="3407"/>
              </w:tabs>
              <w:suppressAutoHyphens w:val="0"/>
              <w:spacing w:line="252" w:lineRule="auto"/>
              <w:textAlignment w:val="auto"/>
            </w:pPr>
            <w:r>
              <w:t>Joint Controller Agreement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C08A" w14:textId="3C6EA4C5" w:rsidR="000B23BB" w:rsidRDefault="000B23BB" w:rsidP="00B76878">
            <w:pPr>
              <w:widowControl w:val="0"/>
              <w:tabs>
                <w:tab w:val="left" w:pos="3407"/>
              </w:tabs>
              <w:suppressAutoHyphens w:val="0"/>
              <w:spacing w:line="252" w:lineRule="auto"/>
              <w:textAlignment w:val="auto"/>
            </w:pPr>
            <w:r>
              <w:t xml:space="preserve">means any of the joint controller agreements including the Rules of Engagement which has been entered into by the </w:t>
            </w:r>
            <w:r w:rsidR="002D42B8">
              <w:t>Participants</w:t>
            </w:r>
            <w:r>
              <w:t xml:space="preserve"> to have access to the GMCR Solution; </w:t>
            </w:r>
          </w:p>
        </w:tc>
      </w:tr>
      <w:tr w:rsidR="000B23BB" w:rsidRPr="00C8085B" w14:paraId="51AED4C5" w14:textId="77777777" w:rsidTr="00B768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01166" w14:textId="6B771B74" w:rsidR="000B23BB" w:rsidRPr="00C8085B" w:rsidRDefault="00CF582A" w:rsidP="00B76878">
            <w:pPr>
              <w:widowControl w:val="0"/>
              <w:tabs>
                <w:tab w:val="left" w:pos="3407"/>
              </w:tabs>
              <w:suppressAutoHyphens w:val="0"/>
              <w:spacing w:line="252" w:lineRule="auto"/>
              <w:textAlignment w:val="auto"/>
            </w:pPr>
            <w:r>
              <w:t>l</w:t>
            </w:r>
            <w:r w:rsidR="000B23BB" w:rsidRPr="00C8085B">
              <w:t>ead controller</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3DFC" w14:textId="09F59E8A" w:rsidR="000B23BB" w:rsidRPr="00C8085B" w:rsidRDefault="000B23BB" w:rsidP="00B76878">
            <w:pPr>
              <w:widowControl w:val="0"/>
              <w:tabs>
                <w:tab w:val="left" w:pos="3407"/>
              </w:tabs>
              <w:suppressAutoHyphens w:val="0"/>
              <w:spacing w:line="252" w:lineRule="auto"/>
              <w:textAlignment w:val="auto"/>
            </w:pPr>
            <w:r>
              <w:t xml:space="preserve">means </w:t>
            </w:r>
            <w:r w:rsidR="00B06A3D">
              <w:t>NHS GM</w:t>
            </w:r>
            <w:r w:rsidRPr="00F47882">
              <w:t xml:space="preserve"> and its nominees and any successor bodies which are to take over any of the functions </w:t>
            </w:r>
            <w:r w:rsidRPr="00801D42">
              <w:t>performed by the lead controller</w:t>
            </w:r>
            <w:r w:rsidR="0073764D">
              <w:t xml:space="preserve"> </w:t>
            </w:r>
            <w:r w:rsidRPr="00D05E55">
              <w:t xml:space="preserve">subject to adequate governance </w:t>
            </w:r>
            <w:r w:rsidRPr="00F47882">
              <w:t>;</w:t>
            </w:r>
            <w:r w:rsidR="00CA59E9" w:rsidRPr="003253F3">
              <w:t xml:space="preserve"> </w:t>
            </w:r>
          </w:p>
        </w:tc>
      </w:tr>
      <w:tr w:rsidR="000B23BB" w:rsidRPr="00C8085B" w14:paraId="1A699A78" w14:textId="77777777" w:rsidTr="00B768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57CCF" w14:textId="77777777" w:rsidR="000B23BB" w:rsidRPr="00C8085B" w:rsidRDefault="000B23BB" w:rsidP="00B76878">
            <w:pPr>
              <w:widowControl w:val="0"/>
              <w:tabs>
                <w:tab w:val="left" w:pos="3407"/>
              </w:tabs>
              <w:suppressAutoHyphens w:val="0"/>
              <w:spacing w:line="252" w:lineRule="auto"/>
              <w:textAlignment w:val="auto"/>
            </w:pPr>
            <w:r>
              <w:t>NCA</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1D29D" w14:textId="77777777" w:rsidR="000B23BB" w:rsidRDefault="000B23BB" w:rsidP="00B76878">
            <w:pPr>
              <w:widowControl w:val="0"/>
              <w:tabs>
                <w:tab w:val="left" w:pos="3407"/>
              </w:tabs>
              <w:suppressAutoHyphens w:val="0"/>
              <w:spacing w:line="252" w:lineRule="auto"/>
              <w:textAlignment w:val="auto"/>
            </w:pPr>
            <w:r>
              <w:t>means the Northern Care Alliance NHS Foundation Trust</w:t>
            </w:r>
          </w:p>
        </w:tc>
      </w:tr>
      <w:tr w:rsidR="00596A29" w:rsidRPr="00C8085B" w14:paraId="6DA3A332" w14:textId="77777777" w:rsidTr="00B768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44ED2" w14:textId="3B58E242" w:rsidR="00596A29" w:rsidRDefault="00596A29" w:rsidP="00B76878">
            <w:pPr>
              <w:widowControl w:val="0"/>
              <w:tabs>
                <w:tab w:val="left" w:pos="3407"/>
              </w:tabs>
              <w:suppressAutoHyphens w:val="0"/>
              <w:spacing w:line="252" w:lineRule="auto"/>
              <w:textAlignment w:val="auto"/>
            </w:pPr>
            <w:r>
              <w:t>NHS GM</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09A7F" w14:textId="759C4CA8" w:rsidR="00596A29" w:rsidRDefault="00136006" w:rsidP="00B76878">
            <w:pPr>
              <w:widowControl w:val="0"/>
              <w:tabs>
                <w:tab w:val="left" w:pos="3407"/>
              </w:tabs>
              <w:suppressAutoHyphens w:val="0"/>
              <w:spacing w:line="252" w:lineRule="auto"/>
              <w:textAlignment w:val="auto"/>
            </w:pPr>
            <w:r>
              <w:t xml:space="preserve">means NHS </w:t>
            </w:r>
            <w:r w:rsidR="00D1190E">
              <w:t>Greater Manchester Integrated Care</w:t>
            </w:r>
            <w:r w:rsidR="008D2825">
              <w:t xml:space="preserve">, see link </w:t>
            </w:r>
            <w:hyperlink r:id="rId13" w:history="1">
              <w:r w:rsidR="008D2825" w:rsidRPr="00CA49D6">
                <w:rPr>
                  <w:rStyle w:val="Hyperlink"/>
                </w:rPr>
                <w:t>here</w:t>
              </w:r>
            </w:hyperlink>
            <w:r w:rsidR="008C584C">
              <w:t xml:space="preserve">. </w:t>
            </w:r>
            <w:r w:rsidR="00FA7EF8">
              <w:t>. NHS GM is a statutory body with the general function of arranging for the provision of services for the purposes of the health service in England and is an NHS body for the purposes of the 2006 Act</w:t>
            </w:r>
          </w:p>
        </w:tc>
      </w:tr>
      <w:tr w:rsidR="00DA1A8A" w:rsidRPr="00C8085B" w14:paraId="15B15315" w14:textId="75F9621E" w:rsidTr="00B768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CEE74" w14:textId="310A7357" w:rsidR="00DA1A8A" w:rsidRDefault="00DA1A8A" w:rsidP="00B76878">
            <w:pPr>
              <w:widowControl w:val="0"/>
              <w:tabs>
                <w:tab w:val="left" w:pos="3407"/>
              </w:tabs>
              <w:suppressAutoHyphens w:val="0"/>
              <w:spacing w:line="252" w:lineRule="auto"/>
              <w:textAlignment w:val="auto"/>
            </w:pPr>
            <w:r>
              <w:t>Participant(s)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491FD" w14:textId="7A85B529" w:rsidR="00DA1A8A" w:rsidRDefault="00D05E55" w:rsidP="00B76878">
            <w:pPr>
              <w:widowControl w:val="0"/>
              <w:tabs>
                <w:tab w:val="left" w:pos="3407"/>
              </w:tabs>
              <w:suppressAutoHyphens w:val="0"/>
              <w:spacing w:line="252" w:lineRule="auto"/>
              <w:textAlignment w:val="auto"/>
            </w:pPr>
            <w:r>
              <w:t xml:space="preserve">means the </w:t>
            </w:r>
            <w:r w:rsidRPr="00FC2556">
              <w:t xml:space="preserve">joint data controllers </w:t>
            </w:r>
            <w:r>
              <w:t>which as users of the GMCR are parties to the Joint Controller Agreement</w:t>
            </w:r>
            <w:r w:rsidRPr="00FC2556">
              <w:t xml:space="preserve"> (irrespective of whether acting as a contributor of data, consumer of data, manager of data or otherwise);</w:t>
            </w:r>
            <w:r>
              <w:t xml:space="preserve"> </w:t>
            </w:r>
          </w:p>
        </w:tc>
      </w:tr>
      <w:tr w:rsidR="00C74339" w:rsidRPr="00C8085B" w14:paraId="4198F8D1" w14:textId="77777777" w:rsidTr="00B768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D9BB4" w14:textId="1D723BD4" w:rsidR="00C74339" w:rsidRDefault="00C74339" w:rsidP="00C74339">
            <w:pPr>
              <w:widowControl w:val="0"/>
              <w:tabs>
                <w:tab w:val="left" w:pos="3407"/>
              </w:tabs>
              <w:suppressAutoHyphens w:val="0"/>
              <w:spacing w:line="252" w:lineRule="auto"/>
              <w:textAlignment w:val="auto"/>
            </w:pPr>
            <w:r>
              <w:t>patient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B3ABB" w14:textId="7683EF3C" w:rsidR="00C74339" w:rsidRPr="003A1D8B" w:rsidRDefault="00C74339" w:rsidP="00C74339">
            <w:pPr>
              <w:widowControl w:val="0"/>
              <w:tabs>
                <w:tab w:val="left" w:pos="3407"/>
              </w:tabs>
              <w:suppressAutoHyphens w:val="0"/>
              <w:spacing w:line="252" w:lineRule="auto"/>
              <w:textAlignment w:val="auto"/>
            </w:pPr>
            <w:r>
              <w:t>means a patient, or customer/client of social care services in receipt of health and/or care services within Greater Manchester</w:t>
            </w:r>
          </w:p>
        </w:tc>
      </w:tr>
      <w:tr w:rsidR="0066523D" w:rsidRPr="00C8085B" w14:paraId="6E49F705" w14:textId="77777777" w:rsidTr="00B768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EFFB" w14:textId="64E0383A" w:rsidR="0066523D" w:rsidRDefault="0066523D" w:rsidP="00B76878">
            <w:pPr>
              <w:widowControl w:val="0"/>
              <w:tabs>
                <w:tab w:val="left" w:pos="3407"/>
              </w:tabs>
              <w:suppressAutoHyphens w:val="0"/>
              <w:spacing w:line="252" w:lineRule="auto"/>
              <w:textAlignment w:val="auto"/>
            </w:pPr>
            <w:r>
              <w:lastRenderedPageBreak/>
              <w:t>Rules of Engagement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92695" w14:textId="36C236D2" w:rsidR="0066523D" w:rsidRPr="001368E2" w:rsidRDefault="00DD79C9" w:rsidP="00B76878">
            <w:pPr>
              <w:widowControl w:val="0"/>
              <w:tabs>
                <w:tab w:val="left" w:pos="3407"/>
              </w:tabs>
              <w:suppressAutoHyphens w:val="0"/>
              <w:spacing w:line="252" w:lineRule="auto"/>
              <w:textAlignment w:val="auto"/>
            </w:pPr>
            <w:r w:rsidRPr="00DD79C9">
              <w:t>means the rules set out in Appendix C to this</w:t>
            </w:r>
            <w:r>
              <w:t xml:space="preserve"> DSA</w:t>
            </w:r>
          </w:p>
        </w:tc>
      </w:tr>
      <w:tr w:rsidR="009A2FB3" w:rsidRPr="00C8085B" w14:paraId="555473A0" w14:textId="77777777" w:rsidTr="00B768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BC16E" w14:textId="6EADE089" w:rsidR="009A2FB3" w:rsidRDefault="009A2FB3" w:rsidP="00B76878">
            <w:pPr>
              <w:widowControl w:val="0"/>
              <w:tabs>
                <w:tab w:val="left" w:pos="3407"/>
              </w:tabs>
              <w:suppressAutoHyphens w:val="0"/>
              <w:spacing w:line="252" w:lineRule="auto"/>
              <w:textAlignment w:val="auto"/>
            </w:pPr>
            <w:r>
              <w:t>SSO</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731A" w14:textId="43538B8C" w:rsidR="009A2FB3" w:rsidRPr="00DD79C9" w:rsidRDefault="005E1AD0" w:rsidP="00B76878">
            <w:pPr>
              <w:widowControl w:val="0"/>
              <w:tabs>
                <w:tab w:val="left" w:pos="3407"/>
              </w:tabs>
              <w:suppressAutoHyphens w:val="0"/>
              <w:spacing w:line="252" w:lineRule="auto"/>
              <w:textAlignment w:val="auto"/>
            </w:pPr>
            <w:r>
              <w:t>m</w:t>
            </w:r>
            <w:r w:rsidR="009A2FB3">
              <w:t>eans Single Sign</w:t>
            </w:r>
            <w:r w:rsidR="00BB7300">
              <w:t>-</w:t>
            </w:r>
            <w:r w:rsidR="009A2FB3">
              <w:t>On</w:t>
            </w:r>
            <w:r w:rsidR="00BB7300">
              <w:t>; and</w:t>
            </w:r>
          </w:p>
        </w:tc>
      </w:tr>
      <w:tr w:rsidR="00BB7300" w:rsidRPr="00C8085B" w14:paraId="1865C6B3" w14:textId="77777777" w:rsidTr="00B768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FF73F" w14:textId="71FD215C" w:rsidR="00BB7300" w:rsidRDefault="00BB7300" w:rsidP="00B76878">
            <w:pPr>
              <w:widowControl w:val="0"/>
              <w:tabs>
                <w:tab w:val="left" w:pos="3407"/>
              </w:tabs>
              <w:suppressAutoHyphens w:val="0"/>
              <w:spacing w:line="252" w:lineRule="auto"/>
              <w:textAlignment w:val="auto"/>
            </w:pPr>
            <w:r>
              <w:t>UK GDPR</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D15AF" w14:textId="32C9B1CF" w:rsidR="00BB7300" w:rsidRDefault="0073162C" w:rsidP="00B76878">
            <w:pPr>
              <w:widowControl w:val="0"/>
              <w:tabs>
                <w:tab w:val="left" w:pos="3407"/>
              </w:tabs>
              <w:suppressAutoHyphens w:val="0"/>
              <w:spacing w:line="252" w:lineRule="auto"/>
              <w:textAlignment w:val="auto"/>
            </w:pPr>
            <w:r w:rsidRPr="0073162C">
              <w:t>means the retained EU law version of the General Data Protection Regulation (EU) 2016/679.</w:t>
            </w:r>
          </w:p>
        </w:tc>
      </w:tr>
    </w:tbl>
    <w:p w14:paraId="01DCE455" w14:textId="77777777" w:rsidR="00422ACC" w:rsidRPr="00422ACC" w:rsidRDefault="00422ACC" w:rsidP="00B76878">
      <w:pPr>
        <w:pStyle w:val="Level3"/>
        <w:keepNext w:val="0"/>
        <w:widowControl w:val="0"/>
        <w:suppressAutoHyphens w:val="0"/>
        <w:spacing w:line="252" w:lineRule="auto"/>
      </w:pPr>
    </w:p>
    <w:p w14:paraId="32067554" w14:textId="4E45EBA1" w:rsidR="00BA42A8" w:rsidRDefault="00D70988" w:rsidP="00B76878">
      <w:pPr>
        <w:pStyle w:val="Heading2"/>
        <w:keepNext w:val="0"/>
        <w:widowControl w:val="0"/>
        <w:suppressAutoHyphens w:val="0"/>
        <w:spacing w:line="252" w:lineRule="auto"/>
      </w:pPr>
      <w:bookmarkStart w:id="4" w:name="_Toc153880780"/>
      <w:r>
        <w:t>Purpose and objectives of the information sharing</w:t>
      </w:r>
      <w:bookmarkEnd w:id="3"/>
      <w:bookmarkEnd w:id="4"/>
    </w:p>
    <w:p w14:paraId="767749D1" w14:textId="293E8290" w:rsidR="007966A4" w:rsidRDefault="00F32216" w:rsidP="00B76878">
      <w:pPr>
        <w:pStyle w:val="Heading3"/>
        <w:keepNext w:val="0"/>
        <w:widowControl w:val="0"/>
        <w:suppressAutoHyphens w:val="0"/>
      </w:pPr>
      <w:r>
        <w:t>.</w:t>
      </w:r>
      <w:r w:rsidR="007966A4" w:rsidRPr="007966A4">
        <w:t xml:space="preserve"> </w:t>
      </w:r>
      <w:r w:rsidR="007966A4">
        <w:t>GM has implemented the GMCR Solution ac</w:t>
      </w:r>
      <w:r w:rsidR="009E16AB">
        <w:t>ros</w:t>
      </w:r>
      <w:r w:rsidR="007966A4">
        <w:t xml:space="preserve">s </w:t>
      </w:r>
      <w:r w:rsidR="00C41FFB">
        <w:t xml:space="preserve">the </w:t>
      </w:r>
      <w:r w:rsidR="002D42B8">
        <w:t>Participants</w:t>
      </w:r>
      <w:r w:rsidR="007966A4">
        <w:t xml:space="preserve">. The purpose of the GMCR Solution is to allow the safe flow of patient data between care settings, and the aggregation of data for population health. This data sharing is subject to a rigorous information governance framework and all parties have signed up or are in the process of signing the Joint Controller Agreement that controls the use of the GMCR Solution across all the joint controllers. </w:t>
      </w:r>
    </w:p>
    <w:p w14:paraId="5957C226" w14:textId="2F2E96D4" w:rsidR="007966A4" w:rsidRDefault="007966A4" w:rsidP="00B76878">
      <w:pPr>
        <w:pStyle w:val="Heading3"/>
        <w:keepNext w:val="0"/>
        <w:widowControl w:val="0"/>
        <w:suppressAutoHyphens w:val="0"/>
      </w:pPr>
      <w:r>
        <w:t xml:space="preserve">Whilst the Joint Controller Agreement focusses on the </w:t>
      </w:r>
      <w:r w:rsidR="002D42B8">
        <w:t>Participants</w:t>
      </w:r>
      <w:r>
        <w:t xml:space="preserve">, from time to time, GM also uses the services of neighbouring health and care authorities for the provision of care to </w:t>
      </w:r>
      <w:r w:rsidR="00801D42">
        <w:t>patient</w:t>
      </w:r>
      <w:r>
        <w:t xml:space="preserve">s. </w:t>
      </w:r>
      <w:r w:rsidR="00034172" w:rsidRPr="00034172">
        <w:t xml:space="preserve">In accordance with the Information </w:t>
      </w:r>
      <w:r w:rsidR="00631273">
        <w:t xml:space="preserve">Governance </w:t>
      </w:r>
      <w:r w:rsidR="00034172" w:rsidRPr="00034172">
        <w:t>Framework for Integrated Health and Care: Shared Care Records</w:t>
      </w:r>
      <w:r w:rsidR="009A01A4">
        <w:rPr>
          <w:rStyle w:val="FootnoteReference"/>
        </w:rPr>
        <w:footnoteReference w:id="2"/>
      </w:r>
      <w:r w:rsidR="00034172">
        <w:t>, t</w:t>
      </w:r>
      <w:r>
        <w:t xml:space="preserve">hese </w:t>
      </w:r>
      <w:r w:rsidR="00AA06ED">
        <w:t>Additional Authorities</w:t>
      </w:r>
      <w:r>
        <w:t xml:space="preserve"> are not </w:t>
      </w:r>
      <w:r w:rsidR="00034172">
        <w:t>expected to enter in</w:t>
      </w:r>
      <w:r>
        <w:t xml:space="preserve">to the joint controller agreement as the remit of their intervention is more particularly defined and their access is read only, i.e. access is given for information purposes, we are not </w:t>
      </w:r>
      <w:r w:rsidR="009F056A">
        <w:t xml:space="preserve">expecting </w:t>
      </w:r>
      <w:r>
        <w:t xml:space="preserve">these </w:t>
      </w:r>
      <w:r w:rsidR="00E20884">
        <w:t>Additional Authorities</w:t>
      </w:r>
      <w:r>
        <w:t xml:space="preserve">’ data to flow into the GMCR Solution. </w:t>
      </w:r>
    </w:p>
    <w:p w14:paraId="5F3DE144" w14:textId="01D191EE" w:rsidR="007966A4" w:rsidRDefault="007966A4" w:rsidP="00B76878">
      <w:pPr>
        <w:pStyle w:val="Heading3"/>
        <w:keepNext w:val="0"/>
        <w:widowControl w:val="0"/>
        <w:suppressAutoHyphens w:val="0"/>
      </w:pPr>
      <w:r>
        <w:t xml:space="preserve">As at the date of this DSA, there are </w:t>
      </w:r>
      <w:r w:rsidR="00E859A2">
        <w:t>3</w:t>
      </w:r>
      <w:r>
        <w:t xml:space="preserve"> in scope: </w:t>
      </w:r>
    </w:p>
    <w:p w14:paraId="744672E2" w14:textId="4C6B3F7A" w:rsidR="00E742A4" w:rsidRPr="00E742A4" w:rsidRDefault="004725CA" w:rsidP="002B51C6">
      <w:pPr>
        <w:pStyle w:val="Level4"/>
        <w:numPr>
          <w:ilvl w:val="0"/>
          <w:numId w:val="24"/>
        </w:numPr>
        <w:spacing w:line="240" w:lineRule="auto"/>
      </w:pPr>
      <w:r>
        <w:t xml:space="preserve">Community Pharmacies are commissioned </w:t>
      </w:r>
      <w:r w:rsidR="00B36093">
        <w:t>on behalf of</w:t>
      </w:r>
      <w:r>
        <w:t xml:space="preserve"> NHS England to provide dispensing and additional services to patients, for example, advice and other support for patients in the community setting. They are also key partners in emerging primary care networks. Community Pharmacies are already included</w:t>
      </w:r>
      <w:r w:rsidR="006016EF">
        <w:t xml:space="preserve"> as Authorised Service Recipients </w:t>
      </w:r>
      <w:r w:rsidR="00613448">
        <w:t xml:space="preserve">but will be required to complete the GMCR onboarding form to capture the relevant </w:t>
      </w:r>
      <w:r w:rsidR="00B148E1">
        <w:t>due diligence</w:t>
      </w:r>
      <w:r w:rsidR="00CE51E1">
        <w:t xml:space="preserve"> relating to their IG compliance</w:t>
      </w:r>
      <w:r w:rsidR="00B148E1">
        <w:t>.</w:t>
      </w:r>
    </w:p>
    <w:p w14:paraId="27C5E439" w14:textId="6DFC81A5" w:rsidR="00E742A4" w:rsidRPr="00E742A4" w:rsidRDefault="007966A4" w:rsidP="00E742A4">
      <w:pPr>
        <w:pStyle w:val="Heading3"/>
        <w:keepNext w:val="0"/>
        <w:widowControl w:val="0"/>
        <w:numPr>
          <w:ilvl w:val="0"/>
          <w:numId w:val="24"/>
        </w:numPr>
        <w:suppressAutoHyphens w:val="0"/>
      </w:pPr>
      <w:r>
        <w:t xml:space="preserve">Pennine MSK Partnership Limited which has been appointed to provide specialized health </w:t>
      </w:r>
      <w:r w:rsidR="000B23BB">
        <w:t>services regarding</w:t>
      </w:r>
      <w:r>
        <w:t xml:space="preserve"> musculoskeletal disorders to GM’s registered population in Oldham</w:t>
      </w:r>
      <w:r w:rsidR="00211787">
        <w:t>.</w:t>
      </w:r>
    </w:p>
    <w:p w14:paraId="3899F886" w14:textId="0C7BAD3A" w:rsidR="007966A4" w:rsidRDefault="007966A4" w:rsidP="00B76878">
      <w:pPr>
        <w:pStyle w:val="Heading3"/>
        <w:keepNext w:val="0"/>
        <w:widowControl w:val="0"/>
        <w:numPr>
          <w:ilvl w:val="0"/>
          <w:numId w:val="24"/>
        </w:numPr>
        <w:suppressAutoHyphens w:val="0"/>
      </w:pPr>
      <w:r>
        <w:t>Liverpool University Hospitals NHS Foundation Trust which has been commissioned by Wigan Council to provide</w:t>
      </w:r>
      <w:r w:rsidR="009E0A41">
        <w:t xml:space="preserve"> a</w:t>
      </w:r>
      <w:r>
        <w:t xml:space="preserve"> Specialist Weight Management Service.</w:t>
      </w:r>
    </w:p>
    <w:p w14:paraId="6237C04C" w14:textId="29579400" w:rsidR="00337A25" w:rsidRDefault="00337A25" w:rsidP="00B76878">
      <w:pPr>
        <w:pStyle w:val="Heading3"/>
        <w:keepNext w:val="0"/>
        <w:widowControl w:val="0"/>
        <w:suppressAutoHyphens w:val="0"/>
      </w:pPr>
      <w:r>
        <w:t>The purpose and conditions to</w:t>
      </w:r>
      <w:r w:rsidR="005957CD">
        <w:t xml:space="preserve"> Community Pharmacies,</w:t>
      </w:r>
      <w:r>
        <w:t xml:space="preserve"> </w:t>
      </w:r>
      <w:r w:rsidR="00C74FAD">
        <w:t>Pennine MSK Partnership Limited and Liverpool University Hospitals NHS Foundation Trust</w:t>
      </w:r>
      <w:r w:rsidR="00B87216">
        <w:t xml:space="preserve"> access</w:t>
      </w:r>
      <w:r w:rsidR="00C74FAD">
        <w:t xml:space="preserve"> </w:t>
      </w:r>
      <w:r>
        <w:t>is more particularly set out in Appendix E</w:t>
      </w:r>
      <w:r w:rsidR="005957CD">
        <w:t>,</w:t>
      </w:r>
      <w:r w:rsidR="00B87216">
        <w:t xml:space="preserve"> </w:t>
      </w:r>
      <w:r w:rsidR="00B812B2">
        <w:t xml:space="preserve">Appendix </w:t>
      </w:r>
      <w:r>
        <w:t>F</w:t>
      </w:r>
      <w:r w:rsidR="005957CD">
        <w:t xml:space="preserve"> and Appendix G</w:t>
      </w:r>
      <w:r w:rsidR="00E859A2">
        <w:t xml:space="preserve"> </w:t>
      </w:r>
      <w:r>
        <w:t xml:space="preserve">to this DSA. </w:t>
      </w:r>
    </w:p>
    <w:p w14:paraId="7E0AF220" w14:textId="2C45C627" w:rsidR="007966A4" w:rsidRDefault="007966A4" w:rsidP="00B76878">
      <w:pPr>
        <w:pStyle w:val="Heading3"/>
        <w:keepNext w:val="0"/>
        <w:widowControl w:val="0"/>
        <w:suppressAutoHyphens w:val="0"/>
      </w:pPr>
      <w:r>
        <w:t xml:space="preserve">Their rights and obligations as well as the allocation of responsibilities between the lead controller, the </w:t>
      </w:r>
      <w:r w:rsidR="002D42B8">
        <w:t>Participants</w:t>
      </w:r>
      <w:r>
        <w:t xml:space="preserve"> and these </w:t>
      </w:r>
      <w:r w:rsidR="00E20884">
        <w:t>Additional Authorities</w:t>
      </w:r>
      <w:r>
        <w:t xml:space="preserve"> are more particularly set out in this DSA. </w:t>
      </w:r>
    </w:p>
    <w:p w14:paraId="3B3D2DA9" w14:textId="3717BFF4" w:rsidR="00A83C7A" w:rsidRDefault="007966A4" w:rsidP="00B76878">
      <w:pPr>
        <w:pStyle w:val="Heading3"/>
        <w:keepNext w:val="0"/>
        <w:widowControl w:val="0"/>
        <w:suppressAutoHyphens w:val="0"/>
      </w:pPr>
      <w:r>
        <w:lastRenderedPageBreak/>
        <w:t xml:space="preserve">It is also noted that other health and care authorities outside of GM may have a need to access the GMCR Solution for the provision of outsourced services to </w:t>
      </w:r>
      <w:r w:rsidR="00801D42">
        <w:t>patient</w:t>
      </w:r>
      <w:r>
        <w:t>s. T</w:t>
      </w:r>
      <w:r w:rsidR="007266E3">
        <w:t>o ease the administration of these new joiners, t</w:t>
      </w:r>
      <w:r>
        <w:t xml:space="preserve">his DSA </w:t>
      </w:r>
      <w:r w:rsidR="00E778F2">
        <w:t>further</w:t>
      </w:r>
      <w:r>
        <w:t xml:space="preserve"> </w:t>
      </w:r>
      <w:r w:rsidR="008B55E8">
        <w:t xml:space="preserve">delegates authority to the lead controller to enter into a </w:t>
      </w:r>
      <w:r w:rsidR="00A92861">
        <w:t xml:space="preserve">Joining Addendum </w:t>
      </w:r>
      <w:r w:rsidR="008B55E8">
        <w:t>with the new A</w:t>
      </w:r>
      <w:r w:rsidR="00BC1099">
        <w:t>dditional</w:t>
      </w:r>
      <w:r w:rsidR="008B55E8">
        <w:t xml:space="preserve"> </w:t>
      </w:r>
      <w:r w:rsidR="00A83C7A">
        <w:t>Authority</w:t>
      </w:r>
      <w:r w:rsidR="008B55E8">
        <w:t xml:space="preserve"> </w:t>
      </w:r>
      <w:r w:rsidR="00A83C7A">
        <w:t>subject to appropriate governance</w:t>
      </w:r>
      <w:r w:rsidR="00A92861">
        <w:t>.</w:t>
      </w:r>
    </w:p>
    <w:p w14:paraId="7BBC0BC7" w14:textId="2D17A51E" w:rsidR="00BA42A8" w:rsidRDefault="00D70988" w:rsidP="00B76878">
      <w:pPr>
        <w:pStyle w:val="Heading2"/>
        <w:keepNext w:val="0"/>
        <w:widowControl w:val="0"/>
        <w:suppressAutoHyphens w:val="0"/>
        <w:spacing w:line="252" w:lineRule="auto"/>
      </w:pPr>
      <w:bookmarkStart w:id="5" w:name="_Toc89094106"/>
      <w:bookmarkStart w:id="6" w:name="_Ref93480114"/>
      <w:bookmarkStart w:id="7" w:name="_Toc153880781"/>
      <w:r>
        <w:t>Controllers</w:t>
      </w:r>
      <w:bookmarkEnd w:id="5"/>
      <w:bookmarkEnd w:id="6"/>
      <w:bookmarkEnd w:id="7"/>
    </w:p>
    <w:p w14:paraId="781CBC4A" w14:textId="77777777" w:rsidR="00BA42A8" w:rsidRDefault="00D70988" w:rsidP="00B76878">
      <w:pPr>
        <w:widowControl w:val="0"/>
        <w:suppressAutoHyphens w:val="0"/>
        <w:spacing w:line="252" w:lineRule="auto"/>
        <w:jc w:val="left"/>
      </w:pPr>
      <w:r>
        <w:rPr>
          <w:i/>
          <w:iCs/>
        </w:rPr>
        <w:t>List here all the organisations which are controllers and for which purposes, as part of this</w:t>
      </w:r>
      <w:r>
        <w:t xml:space="preserve"> </w:t>
      </w:r>
      <w:r>
        <w:rPr>
          <w:i/>
          <w:iCs/>
        </w:rPr>
        <w:t>agreement.</w:t>
      </w:r>
    </w:p>
    <w:p w14:paraId="01704B69" w14:textId="77777777" w:rsidR="00BA42A8" w:rsidRDefault="00BA42A8" w:rsidP="00B76878">
      <w:pPr>
        <w:widowControl w:val="0"/>
        <w:suppressAutoHyphens w:val="0"/>
        <w:spacing w:line="252" w:lineRule="auto"/>
        <w:jc w:val="left"/>
      </w:pPr>
    </w:p>
    <w:p w14:paraId="1C657B44" w14:textId="10C23D39" w:rsidR="004C7186" w:rsidRDefault="00D7699D" w:rsidP="00B76878">
      <w:pPr>
        <w:pStyle w:val="Heading3"/>
        <w:keepNext w:val="0"/>
        <w:widowControl w:val="0"/>
        <w:suppressAutoHyphens w:val="0"/>
      </w:pPr>
      <w:r>
        <w:t xml:space="preserve">All the </w:t>
      </w:r>
      <w:r w:rsidR="002D42B8">
        <w:t>Participants</w:t>
      </w:r>
      <w:r w:rsidR="00B900FD">
        <w:t xml:space="preserve"> to the J</w:t>
      </w:r>
      <w:r w:rsidR="00A933FD">
        <w:t xml:space="preserve">oint </w:t>
      </w:r>
      <w:r w:rsidR="00B900FD">
        <w:t>C</w:t>
      </w:r>
      <w:r w:rsidR="00A933FD">
        <w:t xml:space="preserve">ontroller </w:t>
      </w:r>
      <w:r w:rsidR="00B900FD">
        <w:t>A</w:t>
      </w:r>
      <w:r w:rsidR="00A933FD">
        <w:t>greement</w:t>
      </w:r>
      <w:r w:rsidR="000578C6">
        <w:t xml:space="preserve"> including the lead controller</w:t>
      </w:r>
      <w:r w:rsidR="00C71239">
        <w:t xml:space="preserve"> whose details are</w:t>
      </w:r>
      <w:r w:rsidR="00C00736">
        <w:t xml:space="preserve"> </w:t>
      </w:r>
      <w:r w:rsidR="00350194">
        <w:t>listed in Appendix A</w:t>
      </w:r>
      <w:r w:rsidR="000578C6">
        <w:t>; and</w:t>
      </w:r>
      <w:r w:rsidR="0026632F">
        <w:t>.</w:t>
      </w:r>
      <w:r w:rsidR="004C7186">
        <w:t xml:space="preserve"> </w:t>
      </w:r>
    </w:p>
    <w:p w14:paraId="70B3DD77" w14:textId="2A30DB0A" w:rsidR="00A34557" w:rsidRDefault="004C7186" w:rsidP="00B76878">
      <w:pPr>
        <w:pStyle w:val="Heading3"/>
        <w:keepNext w:val="0"/>
        <w:widowControl w:val="0"/>
        <w:suppressAutoHyphens w:val="0"/>
      </w:pPr>
      <w:r>
        <w:t xml:space="preserve">The </w:t>
      </w:r>
      <w:r w:rsidR="00E20884">
        <w:t>Additional Authorities</w:t>
      </w:r>
      <w:r w:rsidR="00350194">
        <w:t xml:space="preserve"> are listed in Appendix B</w:t>
      </w:r>
      <w:r w:rsidR="005A06B6">
        <w:t xml:space="preserve">. </w:t>
      </w:r>
    </w:p>
    <w:p w14:paraId="2CBBC192" w14:textId="764F5266" w:rsidR="00BA42A8" w:rsidRDefault="00E2028E" w:rsidP="00B76878">
      <w:pPr>
        <w:pStyle w:val="Heading3"/>
        <w:keepNext w:val="0"/>
        <w:widowControl w:val="0"/>
        <w:suppressAutoHyphens w:val="0"/>
        <w:jc w:val="left"/>
      </w:pPr>
      <w:r>
        <w:t xml:space="preserve">For accountability purposes, the lead controller </w:t>
      </w:r>
      <w:r w:rsidR="00DC1D1D">
        <w:t xml:space="preserve">manages the Graphnet </w:t>
      </w:r>
      <w:r w:rsidR="00801D42">
        <w:t xml:space="preserve">GMCR </w:t>
      </w:r>
      <w:r w:rsidR="00DC1D1D">
        <w:t xml:space="preserve">Contract and </w:t>
      </w:r>
      <w:r>
        <w:t xml:space="preserve">has ultimate oversight </w:t>
      </w:r>
      <w:r w:rsidR="003D6474">
        <w:t>of the GMCR Solution</w:t>
      </w:r>
      <w:r w:rsidR="00D444FB">
        <w:t>.</w:t>
      </w:r>
      <w:r w:rsidR="003D6474">
        <w:t xml:space="preserve"> </w:t>
      </w:r>
      <w:r w:rsidR="00D444FB">
        <w:t>A</w:t>
      </w:r>
      <w:r w:rsidR="003D6474">
        <w:t>s such</w:t>
      </w:r>
      <w:r w:rsidR="00D444FB">
        <w:t>, the lead controller</w:t>
      </w:r>
      <w:r w:rsidR="003D6474">
        <w:t xml:space="preserve"> is a party to all data sharing agreements</w:t>
      </w:r>
      <w:r w:rsidR="00D64426">
        <w:t xml:space="preserve"> relating to the GMCR</w:t>
      </w:r>
      <w:r w:rsidR="00DC1D1D">
        <w:t xml:space="preserve"> Solution</w:t>
      </w:r>
      <w:r w:rsidR="00D64426">
        <w:t xml:space="preserve"> in order to </w:t>
      </w:r>
      <w:r w:rsidR="00E10D9E">
        <w:t xml:space="preserve">ensure that these are put in place, are kept up to date </w:t>
      </w:r>
      <w:r w:rsidR="009D7F3D">
        <w:t xml:space="preserve">and </w:t>
      </w:r>
      <w:r w:rsidR="00E10D9E">
        <w:t xml:space="preserve">that their provisions are </w:t>
      </w:r>
      <w:r w:rsidR="00D64426">
        <w:t>enforce</w:t>
      </w:r>
      <w:r w:rsidR="00E10D9E">
        <w:t>d</w:t>
      </w:r>
      <w:r w:rsidR="003D6474">
        <w:t xml:space="preserve">. </w:t>
      </w:r>
    </w:p>
    <w:p w14:paraId="39FDD050" w14:textId="04A07D3B" w:rsidR="00BA42A8" w:rsidRDefault="00D70988" w:rsidP="00B76878">
      <w:pPr>
        <w:pStyle w:val="Heading2"/>
        <w:keepNext w:val="0"/>
        <w:widowControl w:val="0"/>
        <w:suppressAutoHyphens w:val="0"/>
        <w:spacing w:line="252" w:lineRule="auto"/>
      </w:pPr>
      <w:bookmarkStart w:id="8" w:name="_heading=h.m5fi53mu514r"/>
      <w:bookmarkStart w:id="9" w:name="_Toc89094107"/>
      <w:bookmarkStart w:id="10" w:name="_Toc153880782"/>
      <w:bookmarkEnd w:id="8"/>
      <w:r>
        <w:t>Processors</w:t>
      </w:r>
      <w:bookmarkEnd w:id="9"/>
      <w:bookmarkEnd w:id="10"/>
    </w:p>
    <w:p w14:paraId="592D5179" w14:textId="77777777" w:rsidR="00BA42A8" w:rsidRDefault="00D70988" w:rsidP="00B76878">
      <w:pPr>
        <w:widowControl w:val="0"/>
        <w:suppressAutoHyphens w:val="0"/>
        <w:spacing w:line="252" w:lineRule="auto"/>
        <w:jc w:val="left"/>
        <w:rPr>
          <w:i/>
          <w:iCs/>
        </w:rPr>
      </w:pPr>
      <w:r>
        <w:rPr>
          <w:i/>
          <w:iCs/>
        </w:rPr>
        <w:t>List here all organisations acting as processors and sub-processors as part of the agreement. Describe which purpose they relate to and which controllers they report to.</w:t>
      </w:r>
    </w:p>
    <w:p w14:paraId="51FC6AC4" w14:textId="77777777" w:rsidR="00B76878" w:rsidRDefault="00B76878" w:rsidP="00B76878">
      <w:pPr>
        <w:widowControl w:val="0"/>
        <w:suppressAutoHyphens w:val="0"/>
        <w:spacing w:line="252" w:lineRule="auto"/>
        <w:jc w:val="left"/>
        <w:rPr>
          <w:i/>
          <w:iCs/>
        </w:rPr>
      </w:pPr>
    </w:p>
    <w:p w14:paraId="22DCFA7D" w14:textId="41A4F27B" w:rsidR="001F53C1" w:rsidRDefault="00D70988" w:rsidP="00B76878">
      <w:pPr>
        <w:pStyle w:val="Heading3"/>
        <w:keepNext w:val="0"/>
        <w:widowControl w:val="0"/>
        <w:suppressAutoHyphens w:val="0"/>
      </w:pPr>
      <w:r>
        <w:t>Graphnet Health Limited (“</w:t>
      </w:r>
      <w:r>
        <w:rPr>
          <w:b/>
        </w:rPr>
        <w:t>Graphnet</w:t>
      </w:r>
      <w:r>
        <w:t xml:space="preserve">”) is the provider of the GMCR Solution and </w:t>
      </w:r>
      <w:r w:rsidR="008E5557">
        <w:t xml:space="preserve"> is a party to the</w:t>
      </w:r>
      <w:r w:rsidR="00DC1D1D">
        <w:t xml:space="preserve"> Graphnet </w:t>
      </w:r>
      <w:r w:rsidR="00801D42">
        <w:t xml:space="preserve">GMCR </w:t>
      </w:r>
      <w:r w:rsidR="00DC1D1D">
        <w:t>C</w:t>
      </w:r>
      <w:r>
        <w:t xml:space="preserve">ontract with </w:t>
      </w:r>
      <w:r w:rsidR="00596A29">
        <w:t>NHS GM</w:t>
      </w:r>
      <w:r w:rsidR="008E5557">
        <w:t>. This contract</w:t>
      </w:r>
      <w:r>
        <w:t xml:space="preserve"> covers all the </w:t>
      </w:r>
      <w:r w:rsidR="002D42B8">
        <w:t>Participants</w:t>
      </w:r>
      <w:r>
        <w:t>.</w:t>
      </w:r>
      <w:r w:rsidR="00786F69">
        <w:t xml:space="preserve"> </w:t>
      </w:r>
    </w:p>
    <w:p w14:paraId="76219683" w14:textId="6FF734B1" w:rsidR="00BA42A8" w:rsidRDefault="00786F69" w:rsidP="00B76878">
      <w:pPr>
        <w:pStyle w:val="Heading3"/>
        <w:keepNext w:val="0"/>
        <w:widowControl w:val="0"/>
        <w:suppressAutoHyphens w:val="0"/>
      </w:pPr>
      <w:r>
        <w:t>Graphnet is using M</w:t>
      </w:r>
      <w:r w:rsidR="00752296">
        <w:t>icrosoft</w:t>
      </w:r>
      <w:r>
        <w:t xml:space="preserve"> Azure as its cloud provider</w:t>
      </w:r>
      <w:r w:rsidR="001F53C1">
        <w:t xml:space="preserve"> and therefore M</w:t>
      </w:r>
      <w:r w:rsidR="00752296">
        <w:t>icrosoft</w:t>
      </w:r>
      <w:r w:rsidR="001F53C1">
        <w:t xml:space="preserve"> Azure is </w:t>
      </w:r>
      <w:r w:rsidR="00752296">
        <w:t xml:space="preserve">acting as </w:t>
      </w:r>
      <w:r w:rsidR="001F53C1">
        <w:t xml:space="preserve">a </w:t>
      </w:r>
      <w:r w:rsidR="00752296">
        <w:t>sub</w:t>
      </w:r>
      <w:r w:rsidR="008A59C9">
        <w:t>-</w:t>
      </w:r>
      <w:r w:rsidR="001F53C1">
        <w:t>processor</w:t>
      </w:r>
      <w:r>
        <w:t xml:space="preserve">. </w:t>
      </w:r>
    </w:p>
    <w:p w14:paraId="01981C20" w14:textId="2C3EFA53" w:rsidR="00BA42A8" w:rsidRDefault="00D70988" w:rsidP="00B76878">
      <w:pPr>
        <w:pStyle w:val="Heading2"/>
        <w:keepNext w:val="0"/>
        <w:widowControl w:val="0"/>
        <w:suppressAutoHyphens w:val="0"/>
        <w:spacing w:line="252" w:lineRule="auto"/>
      </w:pPr>
      <w:bookmarkStart w:id="11" w:name="_heading=h.ac5zsgkxvlqy"/>
      <w:bookmarkStart w:id="12" w:name="_Toc89094108"/>
      <w:bookmarkStart w:id="13" w:name="_Toc153880783"/>
      <w:bookmarkEnd w:id="11"/>
      <w:r>
        <w:t>Data items to be processed</w:t>
      </w:r>
      <w:bookmarkEnd w:id="12"/>
      <w:bookmarkEnd w:id="13"/>
      <w:r>
        <w:t xml:space="preserve"> </w:t>
      </w:r>
    </w:p>
    <w:p w14:paraId="437BA6E8" w14:textId="77777777" w:rsidR="00BA42A8" w:rsidRDefault="00D70988" w:rsidP="00B76878">
      <w:pPr>
        <w:widowControl w:val="0"/>
        <w:suppressAutoHyphens w:val="0"/>
        <w:spacing w:line="252" w:lineRule="auto"/>
        <w:jc w:val="left"/>
        <w:rPr>
          <w:i/>
          <w:iCs/>
        </w:rPr>
      </w:pPr>
      <w:r>
        <w:rPr>
          <w:i/>
          <w:iCs/>
        </w:rPr>
        <w:t>List here all the data items you plan to process. Describe the detail of each item and your justification. Include confirmation that there is a signed DPIA where one is needed.</w:t>
      </w:r>
    </w:p>
    <w:p w14:paraId="79BEDD5B" w14:textId="77777777" w:rsidR="00BA42A8" w:rsidRDefault="00BA42A8" w:rsidP="00B76878">
      <w:pPr>
        <w:widowControl w:val="0"/>
        <w:suppressAutoHyphens w:val="0"/>
        <w:spacing w:line="252" w:lineRule="auto"/>
        <w:rPr>
          <w:i/>
          <w:iCs/>
        </w:rPr>
      </w:pPr>
    </w:p>
    <w:p w14:paraId="2A3EF7E0" w14:textId="77777777" w:rsidR="00BA42A8" w:rsidRDefault="00D70988" w:rsidP="00B76878">
      <w:pPr>
        <w:widowControl w:val="0"/>
        <w:suppressAutoHyphens w:val="0"/>
        <w:spacing w:line="252" w:lineRule="auto"/>
        <w:rPr>
          <w:i/>
          <w:iCs/>
        </w:rPr>
      </w:pPr>
      <w:r>
        <w:rPr>
          <w:i/>
          <w:iCs/>
        </w:rPr>
        <w:t xml:space="preserve">The data items to be processed include the following </w:t>
      </w:r>
    </w:p>
    <w:p w14:paraId="4CB8241E" w14:textId="77777777" w:rsidR="00BA42A8" w:rsidRDefault="00BA42A8" w:rsidP="00B76878">
      <w:pPr>
        <w:widowControl w:val="0"/>
        <w:suppressAutoHyphens w:val="0"/>
        <w:spacing w:line="252" w:lineRule="auto"/>
        <w:rPr>
          <w:i/>
          <w:iCs/>
        </w:rPr>
      </w:pPr>
    </w:p>
    <w:p w14:paraId="245F049B" w14:textId="132CA0E5" w:rsidR="00BA42A8" w:rsidRDefault="00165B5C" w:rsidP="00B76878">
      <w:pPr>
        <w:widowControl w:val="0"/>
        <w:suppressAutoHyphens w:val="0"/>
        <w:spacing w:line="252" w:lineRule="auto"/>
      </w:pPr>
      <w:r>
        <w:t>As set out in Appendix E</w:t>
      </w:r>
      <w:r w:rsidR="002F57ED">
        <w:t xml:space="preserve">, </w:t>
      </w:r>
      <w:r w:rsidR="000A7EAA">
        <w:t>Appendix</w:t>
      </w:r>
      <w:r>
        <w:t xml:space="preserve"> F</w:t>
      </w:r>
      <w:r w:rsidR="002F57ED">
        <w:t xml:space="preserve"> and</w:t>
      </w:r>
      <w:r>
        <w:t xml:space="preserve"> and </w:t>
      </w:r>
      <w:r w:rsidR="000A7EAA">
        <w:t>any further</w:t>
      </w:r>
      <w:r>
        <w:t xml:space="preserve"> Joining Addendums.</w:t>
      </w:r>
    </w:p>
    <w:p w14:paraId="454DB8CE" w14:textId="77777777" w:rsidR="00BA42A8" w:rsidRDefault="00BA42A8" w:rsidP="00B76878">
      <w:pPr>
        <w:widowControl w:val="0"/>
        <w:suppressAutoHyphens w:val="0"/>
        <w:spacing w:line="252" w:lineRule="auto"/>
      </w:pPr>
    </w:p>
    <w:p w14:paraId="0B2D4367" w14:textId="77777777" w:rsidR="00BA42A8" w:rsidRDefault="00BA42A8" w:rsidP="00B76878">
      <w:pPr>
        <w:widowControl w:val="0"/>
        <w:suppressAutoHyphens w:val="0"/>
        <w:spacing w:line="252" w:lineRule="auto"/>
        <w:jc w:val="left"/>
      </w:pPr>
    </w:p>
    <w:p w14:paraId="537188C0" w14:textId="77777777" w:rsidR="00F128BC" w:rsidRDefault="00F128BC" w:rsidP="00B76878">
      <w:pPr>
        <w:widowControl w:val="0"/>
        <w:suppressAutoHyphens w:val="0"/>
        <w:spacing w:line="252" w:lineRule="auto"/>
        <w:jc w:val="left"/>
      </w:pPr>
    </w:p>
    <w:p w14:paraId="627F704D" w14:textId="4E2CD8C3" w:rsidR="00BA42A8" w:rsidRDefault="00D70988" w:rsidP="00B76878">
      <w:pPr>
        <w:pStyle w:val="Heading2"/>
        <w:keepNext w:val="0"/>
        <w:widowControl w:val="0"/>
        <w:suppressAutoHyphens w:val="0"/>
        <w:spacing w:line="252" w:lineRule="auto"/>
      </w:pPr>
      <w:bookmarkStart w:id="14" w:name="_Toc89094109"/>
      <w:bookmarkStart w:id="15" w:name="_Toc153880784"/>
      <w:r>
        <w:t>Article 6 Condition: Personal data</w:t>
      </w:r>
      <w:bookmarkEnd w:id="14"/>
      <w:bookmarkEnd w:id="15"/>
    </w:p>
    <w:p w14:paraId="4E04286B" w14:textId="77777777" w:rsidR="00BA42A8" w:rsidRDefault="00D70988" w:rsidP="00B76878">
      <w:pPr>
        <w:widowControl w:val="0"/>
        <w:suppressAutoHyphens w:val="0"/>
        <w:spacing w:line="252" w:lineRule="auto"/>
        <w:jc w:val="left"/>
      </w:pPr>
      <w:r>
        <w:rPr>
          <w:i/>
          <w:iCs/>
        </w:rPr>
        <w:t>State which Article 6 condition, (legal basis) is met. One from the list below must apply whenever</w:t>
      </w:r>
      <w:r>
        <w:t xml:space="preserve"> </w:t>
      </w:r>
      <w:r>
        <w:rPr>
          <w:i/>
          <w:iCs/>
        </w:rPr>
        <w:t>you process personal data. Delete those which do not apply</w:t>
      </w:r>
    </w:p>
    <w:p w14:paraId="108F60AC" w14:textId="77777777" w:rsidR="00BA42A8" w:rsidRDefault="00BA42A8" w:rsidP="00B76878">
      <w:pPr>
        <w:widowControl w:val="0"/>
        <w:suppressAutoHyphens w:val="0"/>
        <w:spacing w:line="252" w:lineRule="auto"/>
        <w:jc w:val="left"/>
      </w:pPr>
    </w:p>
    <w:p w14:paraId="2B26466D" w14:textId="34D06FEC" w:rsidR="00BA42A8" w:rsidRDefault="00981F10" w:rsidP="00B76878">
      <w:pPr>
        <w:pStyle w:val="Heading3"/>
        <w:keepNext w:val="0"/>
        <w:widowControl w:val="0"/>
        <w:suppressAutoHyphens w:val="0"/>
      </w:pPr>
      <w:r>
        <w:t xml:space="preserve"> Article </w:t>
      </w:r>
      <w:r w:rsidR="00F0492D">
        <w:t>6 1.</w:t>
      </w:r>
      <w:r w:rsidR="00D70988">
        <w:t>(e) Public task: the processing is necessary for you to perform a task in the public interest or for your official functions, and the task or function has a clear basis in law.</w:t>
      </w:r>
    </w:p>
    <w:p w14:paraId="766885FB" w14:textId="244D3EFA" w:rsidR="00BA42A8" w:rsidRDefault="00D70988" w:rsidP="00B76878">
      <w:pPr>
        <w:pStyle w:val="Heading2"/>
        <w:keepNext w:val="0"/>
        <w:widowControl w:val="0"/>
        <w:suppressAutoHyphens w:val="0"/>
        <w:spacing w:line="252" w:lineRule="auto"/>
      </w:pPr>
      <w:bookmarkStart w:id="16" w:name="_Toc89094110"/>
      <w:bookmarkStart w:id="17" w:name="_Toc153880785"/>
      <w:r>
        <w:lastRenderedPageBreak/>
        <w:t>Article 9 condition: Special categories of personal data</w:t>
      </w:r>
      <w:bookmarkEnd w:id="16"/>
      <w:bookmarkEnd w:id="17"/>
    </w:p>
    <w:p w14:paraId="22E8EBD7" w14:textId="77777777" w:rsidR="00BA42A8" w:rsidRDefault="00D70988" w:rsidP="00B76878">
      <w:pPr>
        <w:widowControl w:val="0"/>
        <w:suppressAutoHyphens w:val="0"/>
        <w:spacing w:line="252" w:lineRule="auto"/>
        <w:jc w:val="left"/>
        <w:rPr>
          <w:i/>
          <w:iCs/>
        </w:rPr>
      </w:pPr>
      <w:r>
        <w:rPr>
          <w:i/>
          <w:iCs/>
        </w:rPr>
        <w:t>From the list below, state here which Article 9 condition, (conditions for processing special category data) is met. Delete those which do not apply</w:t>
      </w:r>
    </w:p>
    <w:p w14:paraId="5CAC621B" w14:textId="77777777" w:rsidR="00BA42A8" w:rsidRDefault="00BA42A8" w:rsidP="00B76878">
      <w:pPr>
        <w:widowControl w:val="0"/>
        <w:suppressAutoHyphens w:val="0"/>
        <w:spacing w:line="252" w:lineRule="auto"/>
        <w:jc w:val="left"/>
      </w:pPr>
    </w:p>
    <w:p w14:paraId="5C3C9F31" w14:textId="79AD6C99" w:rsidR="00BA42A8" w:rsidRDefault="00F0492D" w:rsidP="00B76878">
      <w:pPr>
        <w:pStyle w:val="Heading3"/>
        <w:keepNext w:val="0"/>
        <w:widowControl w:val="0"/>
        <w:suppressAutoHyphens w:val="0"/>
      </w:pPr>
      <w:r>
        <w:rPr>
          <w:shd w:val="clear" w:color="auto" w:fill="FFFFFF"/>
        </w:rPr>
        <w:t xml:space="preserve"> Article 9</w:t>
      </w:r>
      <w:r w:rsidR="00686DE8">
        <w:rPr>
          <w:shd w:val="clear" w:color="auto" w:fill="FFFFFF"/>
        </w:rPr>
        <w:t xml:space="preserve"> </w:t>
      </w:r>
      <w:r w:rsidR="00AF1B68">
        <w:rPr>
          <w:shd w:val="clear" w:color="auto" w:fill="FFFFFF"/>
        </w:rPr>
        <w:t>2</w:t>
      </w:r>
      <w:r w:rsidR="00686DE8">
        <w:rPr>
          <w:shd w:val="clear" w:color="auto" w:fill="FFFFFF"/>
        </w:rPr>
        <w:t xml:space="preserve">. </w:t>
      </w:r>
      <w:r w:rsidR="00D70988">
        <w:rPr>
          <w:shd w:val="clear" w:color="auto" w:fill="FFFFFF"/>
        </w:rPr>
        <w:t>(h) Health or social care (with a basis in law): (preventive or occupational medicine, for the assessment of the working capacity of the employee, medical diagnosis, the provision of health or social care or treatment or the management of health or social care systems and services)</w:t>
      </w:r>
    </w:p>
    <w:p w14:paraId="4038782E" w14:textId="2B0FF69F" w:rsidR="00BA42A8" w:rsidRDefault="00D70988" w:rsidP="00B76878">
      <w:pPr>
        <w:pStyle w:val="Heading2"/>
        <w:keepNext w:val="0"/>
        <w:widowControl w:val="0"/>
        <w:suppressAutoHyphens w:val="0"/>
        <w:spacing w:line="252" w:lineRule="auto"/>
      </w:pPr>
      <w:bookmarkStart w:id="18" w:name="_heading=h.3znysh7"/>
      <w:bookmarkStart w:id="19" w:name="_Toc89094111"/>
      <w:bookmarkStart w:id="20" w:name="_Toc153880786"/>
      <w:bookmarkEnd w:id="18"/>
      <w:r>
        <w:rPr>
          <w:shd w:val="clear" w:color="auto" w:fill="FFFFFF"/>
        </w:rPr>
        <w:t>Individual rights and preferences</w:t>
      </w:r>
      <w:bookmarkEnd w:id="19"/>
      <w:bookmarkEnd w:id="20"/>
    </w:p>
    <w:p w14:paraId="51674F35" w14:textId="77777777" w:rsidR="00BA42A8" w:rsidRDefault="00D70988" w:rsidP="00B76878">
      <w:pPr>
        <w:widowControl w:val="0"/>
        <w:suppressAutoHyphens w:val="0"/>
        <w:spacing w:line="252" w:lineRule="auto"/>
        <w:jc w:val="left"/>
        <w:rPr>
          <w:i/>
          <w:iCs/>
        </w:rPr>
      </w:pPr>
      <w:r>
        <w:rPr>
          <w:i/>
          <w:iCs/>
        </w:rPr>
        <w:t xml:space="preserve">Explain how individual rights and preferences will be managed by the parties to this agreement. </w:t>
      </w:r>
    </w:p>
    <w:p w14:paraId="03567D93" w14:textId="77777777" w:rsidR="00BA42A8" w:rsidRDefault="00D70988" w:rsidP="00B76878">
      <w:pPr>
        <w:widowControl w:val="0"/>
        <w:suppressAutoHyphens w:val="0"/>
        <w:spacing w:line="252" w:lineRule="auto"/>
        <w:jc w:val="left"/>
        <w:rPr>
          <w:i/>
          <w:iCs/>
        </w:rPr>
      </w:pPr>
      <w:r>
        <w:rPr>
          <w:i/>
          <w:iCs/>
        </w:rPr>
        <w:t>For each below, say how the right will be managed or why it is not applicable.</w:t>
      </w:r>
    </w:p>
    <w:p w14:paraId="281C114C" w14:textId="77777777" w:rsidR="00BA42A8" w:rsidRDefault="00BA42A8" w:rsidP="00B76878">
      <w:pPr>
        <w:widowControl w:val="0"/>
        <w:suppressAutoHyphens w:val="0"/>
        <w:spacing w:line="252" w:lineRule="auto"/>
        <w:jc w:val="left"/>
      </w:pPr>
    </w:p>
    <w:p w14:paraId="701240A6" w14:textId="77777777" w:rsidR="00BA42A8" w:rsidRDefault="00D70988" w:rsidP="00B76878">
      <w:pPr>
        <w:widowControl w:val="0"/>
        <w:suppressAutoHyphens w:val="0"/>
        <w:spacing w:line="252" w:lineRule="auto"/>
      </w:pPr>
      <w:r>
        <w:t xml:space="preserve">Individual right </w:t>
      </w:r>
    </w:p>
    <w:p w14:paraId="074704B6" w14:textId="77777777" w:rsidR="00BA42A8" w:rsidRDefault="00BA42A8" w:rsidP="00B76878">
      <w:pPr>
        <w:widowControl w:val="0"/>
        <w:suppressAutoHyphens w:val="0"/>
        <w:spacing w:line="252" w:lineRule="auto"/>
        <w:jc w:val="left"/>
        <w:rPr>
          <w:shd w:val="clear" w:color="auto" w:fill="FFFFFF"/>
        </w:rPr>
      </w:pPr>
    </w:p>
    <w:p w14:paraId="4A8C7CE1" w14:textId="7E68AF46" w:rsidR="00BA42A8" w:rsidRDefault="00D70988" w:rsidP="00B76878">
      <w:pPr>
        <w:pStyle w:val="Heading3"/>
        <w:keepNext w:val="0"/>
        <w:widowControl w:val="0"/>
        <w:suppressAutoHyphens w:val="0"/>
      </w:pPr>
      <w:r>
        <w:rPr>
          <w:shd w:val="clear" w:color="auto" w:fill="FFFFFF"/>
        </w:rPr>
        <w:t>The right to be informed</w:t>
      </w:r>
      <w:r>
        <w:t xml:space="preserve">: See section </w:t>
      </w:r>
      <w:r w:rsidR="007C227A">
        <w:fldChar w:fldCharType="begin"/>
      </w:r>
      <w:r w:rsidR="007C227A">
        <w:instrText xml:space="preserve"> REF _Ref93666502 \r \h </w:instrText>
      </w:r>
      <w:r w:rsidR="007C227A">
        <w:fldChar w:fldCharType="separate"/>
      </w:r>
      <w:r w:rsidR="000C6961">
        <w:t>11</w:t>
      </w:r>
      <w:r w:rsidR="007C227A">
        <w:fldChar w:fldCharType="end"/>
      </w:r>
      <w:r w:rsidR="007C227A">
        <w:t xml:space="preserve"> </w:t>
      </w:r>
      <w:r>
        <w:t>on transparency</w:t>
      </w:r>
    </w:p>
    <w:p w14:paraId="0A9F9783" w14:textId="544579D0" w:rsidR="00BA42A8" w:rsidRDefault="00D70988" w:rsidP="00B76878">
      <w:pPr>
        <w:pStyle w:val="Heading3"/>
        <w:keepNext w:val="0"/>
        <w:widowControl w:val="0"/>
        <w:suppressAutoHyphens w:val="0"/>
      </w:pPr>
      <w:r>
        <w:rPr>
          <w:shd w:val="clear" w:color="auto" w:fill="FFFFFF"/>
        </w:rPr>
        <w:t>The right of access</w:t>
      </w:r>
      <w:r>
        <w:t>.</w:t>
      </w:r>
    </w:p>
    <w:p w14:paraId="278432EA" w14:textId="775791E6" w:rsidR="00BA42A8" w:rsidRDefault="00D70988" w:rsidP="00B76878">
      <w:pPr>
        <w:pStyle w:val="Heading3"/>
        <w:keepNext w:val="0"/>
        <w:widowControl w:val="0"/>
        <w:suppressAutoHyphens w:val="0"/>
      </w:pPr>
      <w:r>
        <w:rPr>
          <w:shd w:val="clear" w:color="auto" w:fill="FFFFFF"/>
        </w:rPr>
        <w:t>The right to rectification</w:t>
      </w:r>
      <w:bookmarkStart w:id="21" w:name="_Hlk93666574"/>
      <w:r>
        <w:t>.</w:t>
      </w:r>
      <w:bookmarkEnd w:id="21"/>
    </w:p>
    <w:p w14:paraId="15A208F0" w14:textId="3EE3CF51" w:rsidR="00BA42A8" w:rsidRDefault="00D70988" w:rsidP="00B76878">
      <w:pPr>
        <w:pStyle w:val="Heading3"/>
        <w:keepNext w:val="0"/>
        <w:widowControl w:val="0"/>
        <w:suppressAutoHyphens w:val="0"/>
      </w:pPr>
      <w:r>
        <w:rPr>
          <w:shd w:val="clear" w:color="auto" w:fill="FFFFFF"/>
        </w:rPr>
        <w:t>The right to erasure</w:t>
      </w:r>
    </w:p>
    <w:p w14:paraId="23DDA8C8" w14:textId="73E018C2" w:rsidR="00C60E7B" w:rsidRDefault="00D70988" w:rsidP="00B76878">
      <w:pPr>
        <w:pStyle w:val="Heading3"/>
        <w:keepNext w:val="0"/>
        <w:widowControl w:val="0"/>
        <w:suppressAutoHyphens w:val="0"/>
      </w:pPr>
      <w:r w:rsidRPr="00644630">
        <w:rPr>
          <w:shd w:val="clear" w:color="auto" w:fill="FFFFFF"/>
        </w:rPr>
        <w:t>The right to restrict processing</w:t>
      </w:r>
    </w:p>
    <w:p w14:paraId="48A65BA3" w14:textId="7722BF83" w:rsidR="00BA42A8" w:rsidRDefault="00D70988" w:rsidP="00B76878">
      <w:pPr>
        <w:pStyle w:val="Heading3"/>
        <w:keepNext w:val="0"/>
        <w:widowControl w:val="0"/>
        <w:suppressAutoHyphens w:val="0"/>
      </w:pPr>
      <w:r w:rsidRPr="00644630">
        <w:rPr>
          <w:shd w:val="clear" w:color="auto" w:fill="FFFFFF"/>
        </w:rPr>
        <w:t>The right to portability</w:t>
      </w:r>
    </w:p>
    <w:p w14:paraId="31165B9A" w14:textId="7EC2266F" w:rsidR="00BA42A8" w:rsidRDefault="00D70988" w:rsidP="00B76878">
      <w:pPr>
        <w:pStyle w:val="Heading3"/>
        <w:keepNext w:val="0"/>
        <w:widowControl w:val="0"/>
        <w:suppressAutoHyphens w:val="0"/>
      </w:pPr>
      <w:r>
        <w:rPr>
          <w:shd w:val="clear" w:color="auto" w:fill="FFFFFF"/>
        </w:rPr>
        <w:t>The right to object</w:t>
      </w:r>
      <w:r w:rsidR="00771B15">
        <w:t xml:space="preserve"> </w:t>
      </w:r>
    </w:p>
    <w:p w14:paraId="41C4DF30" w14:textId="79497937" w:rsidR="00BA42A8" w:rsidRDefault="00D70988" w:rsidP="00B76878">
      <w:pPr>
        <w:pStyle w:val="Heading3"/>
        <w:keepNext w:val="0"/>
        <w:widowControl w:val="0"/>
        <w:suppressAutoHyphens w:val="0"/>
        <w:rPr>
          <w:shd w:val="clear" w:color="auto" w:fill="FFFFFF"/>
        </w:rPr>
      </w:pPr>
      <w:r>
        <w:rPr>
          <w:shd w:val="clear" w:color="auto" w:fill="FFFFFF"/>
        </w:rPr>
        <w:t>Rights in relation to automated decision-making profiling</w:t>
      </w:r>
    </w:p>
    <w:p w14:paraId="38B30FC7" w14:textId="5AFDB84A" w:rsidR="00BA42A8" w:rsidRDefault="00801D42" w:rsidP="00B76878">
      <w:pPr>
        <w:widowControl w:val="0"/>
        <w:suppressAutoHyphens w:val="0"/>
        <w:spacing w:line="252" w:lineRule="auto"/>
        <w:jc w:val="left"/>
      </w:pPr>
      <w:r>
        <w:t>Section 11 address</w:t>
      </w:r>
      <w:r w:rsidR="00D05E55">
        <w:t>es</w:t>
      </w:r>
      <w:r>
        <w:t xml:space="preserve"> the right to be informed and transparency. For the other </w:t>
      </w:r>
      <w:r w:rsidR="00D05E55">
        <w:t>i</w:t>
      </w:r>
      <w:r>
        <w:t xml:space="preserve">ndividual </w:t>
      </w:r>
      <w:r w:rsidR="00D05E55">
        <w:t>r</w:t>
      </w:r>
      <w:r>
        <w:t xml:space="preserve">ights, these are addressed as part of the general management of the GMCR Solution in the Joint Controller Agreement. The Additional Authorities, who are not feeding any data, must address any queries to the lead controller and, where appropriate and straightforward, the relevant Participants contributing the data. </w:t>
      </w:r>
    </w:p>
    <w:p w14:paraId="3AD67B76" w14:textId="77777777" w:rsidR="00801D42" w:rsidRDefault="00801D42" w:rsidP="00B76878">
      <w:pPr>
        <w:widowControl w:val="0"/>
        <w:suppressAutoHyphens w:val="0"/>
        <w:spacing w:line="252" w:lineRule="auto"/>
        <w:jc w:val="left"/>
      </w:pPr>
    </w:p>
    <w:p w14:paraId="487108E1" w14:textId="77777777" w:rsidR="00BA42A8" w:rsidRDefault="00D70988" w:rsidP="00B76878">
      <w:pPr>
        <w:widowControl w:val="0"/>
        <w:suppressAutoHyphens w:val="0"/>
        <w:spacing w:line="252" w:lineRule="auto"/>
        <w:jc w:val="left"/>
        <w:rPr>
          <w:i/>
          <w:iCs/>
        </w:rPr>
      </w:pPr>
      <w:r>
        <w:rPr>
          <w:i/>
          <w:iCs/>
        </w:rPr>
        <w:t>Please state here how you will manage any complaints raised regarding the proposed data sharing:</w:t>
      </w:r>
    </w:p>
    <w:p w14:paraId="336E736F" w14:textId="77777777" w:rsidR="00BA42A8" w:rsidRDefault="00BA42A8" w:rsidP="00B76878">
      <w:pPr>
        <w:widowControl w:val="0"/>
        <w:suppressAutoHyphens w:val="0"/>
        <w:spacing w:line="252" w:lineRule="auto"/>
        <w:jc w:val="left"/>
        <w:rPr>
          <w:i/>
          <w:iCs/>
        </w:rPr>
      </w:pPr>
    </w:p>
    <w:p w14:paraId="03EA0DBF" w14:textId="4A1C26BD" w:rsidR="00677CF7" w:rsidRPr="00677CF7" w:rsidRDefault="00677CF7" w:rsidP="00B76878">
      <w:pPr>
        <w:pStyle w:val="Heading3"/>
        <w:keepNext w:val="0"/>
        <w:widowControl w:val="0"/>
        <w:suppressAutoHyphens w:val="0"/>
      </w:pPr>
      <w:r w:rsidRPr="00677CF7">
        <w:t xml:space="preserve">Complaints regarding the GMCR </w:t>
      </w:r>
      <w:r w:rsidR="00803D42">
        <w:t xml:space="preserve">Solution </w:t>
      </w:r>
      <w:r w:rsidRPr="00677CF7">
        <w:t xml:space="preserve">and/or the use of the data on the GMCR Solution will be directed to the lead controller who will liaise with the relevant </w:t>
      </w:r>
      <w:r w:rsidR="00803D42">
        <w:t>Authorities</w:t>
      </w:r>
      <w:r w:rsidRPr="00677CF7">
        <w:t xml:space="preserve"> to manage the complaints with those concerned by it. </w:t>
      </w:r>
    </w:p>
    <w:p w14:paraId="3CDB8ADD" w14:textId="55FC768A" w:rsidR="00BA42A8" w:rsidRDefault="00D70988" w:rsidP="00B76878">
      <w:pPr>
        <w:widowControl w:val="0"/>
        <w:suppressAutoHyphens w:val="0"/>
        <w:spacing w:line="252" w:lineRule="auto"/>
        <w:jc w:val="left"/>
        <w:rPr>
          <w:i/>
          <w:iCs/>
        </w:rPr>
      </w:pPr>
      <w:r>
        <w:rPr>
          <w:i/>
          <w:iCs/>
        </w:rPr>
        <w:t>Does the National Data Opt-out apply to proposed purposes for data sharing? If yes, please state how these will be managed:</w:t>
      </w:r>
    </w:p>
    <w:p w14:paraId="077E2C18" w14:textId="47B0AFAC" w:rsidR="00803D42" w:rsidRDefault="00803D42" w:rsidP="00B76878">
      <w:pPr>
        <w:widowControl w:val="0"/>
        <w:suppressAutoHyphens w:val="0"/>
        <w:spacing w:line="252" w:lineRule="auto"/>
        <w:jc w:val="left"/>
        <w:rPr>
          <w:i/>
          <w:iCs/>
        </w:rPr>
      </w:pPr>
    </w:p>
    <w:p w14:paraId="700BE0FE" w14:textId="0D2C24FE" w:rsidR="00F81CB5" w:rsidRDefault="008E6EF5" w:rsidP="005577F0">
      <w:pPr>
        <w:pStyle w:val="Heading3"/>
        <w:keepNext w:val="0"/>
        <w:widowControl w:val="0"/>
        <w:suppressAutoHyphens w:val="0"/>
        <w:jc w:val="left"/>
      </w:pPr>
      <w:r>
        <w:t>The National Data</w:t>
      </w:r>
      <w:r w:rsidR="005442F0">
        <w:t xml:space="preserve"> Opt-</w:t>
      </w:r>
      <w:r w:rsidR="00180EDF">
        <w:t xml:space="preserve">out does not apply </w:t>
      </w:r>
      <w:r w:rsidR="00180EDF" w:rsidRPr="00180EDF">
        <w:t xml:space="preserve">to </w:t>
      </w:r>
      <w:r w:rsidR="00180EDF">
        <w:t xml:space="preserve">the </w:t>
      </w:r>
      <w:r w:rsidR="00180EDF" w:rsidRPr="00180EDF">
        <w:t>proposed purposes for data sharing</w:t>
      </w:r>
      <w:r w:rsidR="00180EDF">
        <w:t>:</w:t>
      </w:r>
      <w:r w:rsidR="00632206">
        <w:t xml:space="preserve"> t</w:t>
      </w:r>
      <w:r w:rsidR="00803D42">
        <w:t>here is no new data feed</w:t>
      </w:r>
      <w:r w:rsidR="00180EDF">
        <w:t xml:space="preserve"> and u</w:t>
      </w:r>
      <w:r w:rsidR="00632206">
        <w:t xml:space="preserve">se of the </w:t>
      </w:r>
      <w:r w:rsidR="002D42B8">
        <w:t>Participants</w:t>
      </w:r>
      <w:r w:rsidR="00632206">
        <w:t>’ data feeds</w:t>
      </w:r>
      <w:r>
        <w:t xml:space="preserve"> </w:t>
      </w:r>
      <w:r w:rsidR="00632206">
        <w:t xml:space="preserve">is for direct care purposes only. </w:t>
      </w:r>
      <w:bookmarkStart w:id="22" w:name="_Toc89094112"/>
    </w:p>
    <w:p w14:paraId="3E0B1081" w14:textId="4796EF6C" w:rsidR="00BA42A8" w:rsidRPr="00F81CB5" w:rsidRDefault="00D70988" w:rsidP="00F81CB5">
      <w:pPr>
        <w:pStyle w:val="Heading2"/>
        <w:keepNext w:val="0"/>
        <w:widowControl w:val="0"/>
        <w:suppressAutoHyphens w:val="0"/>
        <w:spacing w:line="252" w:lineRule="auto"/>
        <w:rPr>
          <w:shd w:val="clear" w:color="auto" w:fill="FFFFFF"/>
        </w:rPr>
      </w:pPr>
      <w:bookmarkStart w:id="23" w:name="_Toc153880787"/>
      <w:r w:rsidRPr="00F81CB5">
        <w:rPr>
          <w:shd w:val="clear" w:color="auto" w:fill="FFFFFF"/>
        </w:rPr>
        <w:lastRenderedPageBreak/>
        <w:t>Compliance with duty of confidentiality or right to privacy</w:t>
      </w:r>
      <w:bookmarkEnd w:id="22"/>
      <w:bookmarkEnd w:id="23"/>
    </w:p>
    <w:p w14:paraId="4984FE8D" w14:textId="77777777" w:rsidR="00BA42A8" w:rsidRDefault="00D70988" w:rsidP="00B76878">
      <w:pPr>
        <w:widowControl w:val="0"/>
        <w:suppressAutoHyphens w:val="0"/>
        <w:spacing w:line="252" w:lineRule="auto"/>
        <w:jc w:val="left"/>
        <w:rPr>
          <w:i/>
          <w:iCs/>
        </w:rPr>
      </w:pPr>
      <w:r>
        <w:rPr>
          <w:i/>
          <w:iCs/>
        </w:rPr>
        <w:t>Please state here how you will be satisfying the duty of confidentiality. This must be in addition to how you have already explained meeting data protection requirements to process personal data.</w:t>
      </w:r>
    </w:p>
    <w:p w14:paraId="0E265153" w14:textId="77777777" w:rsidR="00BA42A8" w:rsidRDefault="00BA42A8" w:rsidP="00B76878">
      <w:pPr>
        <w:widowControl w:val="0"/>
        <w:suppressAutoHyphens w:val="0"/>
        <w:spacing w:line="252" w:lineRule="auto"/>
        <w:jc w:val="left"/>
        <w:rPr>
          <w:i/>
          <w:iCs/>
        </w:rPr>
      </w:pPr>
    </w:p>
    <w:p w14:paraId="6F0A986B" w14:textId="77777777" w:rsidR="00BA42A8" w:rsidRDefault="00D70988" w:rsidP="00B76878">
      <w:pPr>
        <w:widowControl w:val="0"/>
        <w:suppressAutoHyphens w:val="0"/>
        <w:spacing w:line="252" w:lineRule="auto"/>
        <w:jc w:val="left"/>
        <w:rPr>
          <w:i/>
          <w:iCs/>
        </w:rPr>
      </w:pPr>
      <w:r>
        <w:rPr>
          <w:i/>
          <w:iCs/>
        </w:rPr>
        <w:t>Consent: / Statutory Gateway (for example approval under section 251 of the NHS Act 2006):</w:t>
      </w:r>
    </w:p>
    <w:p w14:paraId="048634B7" w14:textId="77777777" w:rsidR="00BA42A8" w:rsidRDefault="00BA42A8" w:rsidP="00B76878">
      <w:pPr>
        <w:widowControl w:val="0"/>
        <w:suppressAutoHyphens w:val="0"/>
        <w:spacing w:line="252" w:lineRule="auto"/>
        <w:jc w:val="left"/>
        <w:rPr>
          <w:i/>
          <w:iCs/>
        </w:rPr>
      </w:pPr>
    </w:p>
    <w:p w14:paraId="2BA0FD10" w14:textId="77777777" w:rsidR="00BA42A8" w:rsidRDefault="00D70988" w:rsidP="00B76878">
      <w:pPr>
        <w:widowControl w:val="0"/>
        <w:suppressAutoHyphens w:val="0"/>
        <w:spacing w:line="252" w:lineRule="auto"/>
        <w:jc w:val="left"/>
        <w:rPr>
          <w:i/>
          <w:iCs/>
        </w:rPr>
      </w:pPr>
      <w:r>
        <w:rPr>
          <w:i/>
          <w:iCs/>
        </w:rPr>
        <w:t>Please provide an explanation if you are relying on statutory gateway. Describe which you are using and confirm whether it sets aside the common law duty of confidentiality.</w:t>
      </w:r>
    </w:p>
    <w:p w14:paraId="5A192B93" w14:textId="77777777" w:rsidR="00BA42A8" w:rsidRDefault="00BA42A8" w:rsidP="00B76878">
      <w:pPr>
        <w:widowControl w:val="0"/>
        <w:suppressAutoHyphens w:val="0"/>
        <w:spacing w:line="252" w:lineRule="auto"/>
        <w:jc w:val="left"/>
        <w:rPr>
          <w:i/>
          <w:iCs/>
        </w:rPr>
      </w:pPr>
    </w:p>
    <w:p w14:paraId="5D528F85" w14:textId="77777777" w:rsidR="005442F0" w:rsidRPr="00D77FDC" w:rsidRDefault="00D742EE" w:rsidP="00B76878">
      <w:pPr>
        <w:pStyle w:val="Heading3"/>
        <w:keepNext w:val="0"/>
        <w:widowControl w:val="0"/>
        <w:suppressAutoHyphens w:val="0"/>
        <w:jc w:val="left"/>
        <w:rPr>
          <w:i/>
        </w:rPr>
      </w:pPr>
      <w:r w:rsidRPr="00A17DB2">
        <w:t xml:space="preserve">Consent can be implied for the purposes of direct care. The Health &amp; Social Care Act 2012 as amended by the Health &amp; Social </w:t>
      </w:r>
      <w:r w:rsidRPr="00D742EE">
        <w:t>Care</w:t>
      </w:r>
      <w:r w:rsidRPr="00A17DB2">
        <w:t xml:space="preserve"> (Safety &amp; Quality) Act 2015 supports the 7th Caldicott principle ‘The duty to share information can be as important as the duty to protect it’.</w:t>
      </w:r>
      <w:r>
        <w:t xml:space="preserve"> </w:t>
      </w:r>
    </w:p>
    <w:p w14:paraId="611A7F6D" w14:textId="7193DE0A" w:rsidR="00BA42A8" w:rsidRPr="00180EDF" w:rsidRDefault="00D742EE" w:rsidP="00B76878">
      <w:pPr>
        <w:pStyle w:val="Heading3"/>
        <w:keepNext w:val="0"/>
        <w:widowControl w:val="0"/>
        <w:suppressAutoHyphens w:val="0"/>
        <w:jc w:val="left"/>
        <w:rPr>
          <w:i/>
        </w:rPr>
      </w:pPr>
      <w:r w:rsidRPr="00546765">
        <w:t xml:space="preserve">The duty is </w:t>
      </w:r>
      <w:r w:rsidR="005442F0">
        <w:t>and remains</w:t>
      </w:r>
      <w:r w:rsidRPr="00546765">
        <w:t xml:space="preserve"> subject to the requirement that the disclosure is likely to facilitate the provision to the individual of health services or adult social care in England, is in the individual's best interests and the individual has not objected, or would be likely to object, to the disclosure of the information.</w:t>
      </w:r>
    </w:p>
    <w:p w14:paraId="0D676656" w14:textId="39BB8FE8" w:rsidR="000E29D2" w:rsidRDefault="00D70988" w:rsidP="00B76878">
      <w:pPr>
        <w:widowControl w:val="0"/>
        <w:suppressAutoHyphens w:val="0"/>
        <w:spacing w:line="252" w:lineRule="auto"/>
        <w:jc w:val="left"/>
        <w:rPr>
          <w:i/>
          <w:iCs/>
        </w:rPr>
      </w:pPr>
      <w:r>
        <w:rPr>
          <w:i/>
          <w:iCs/>
        </w:rPr>
        <w:t>Is there any interference with Human Rights Article 8?</w:t>
      </w:r>
      <w:r w:rsidR="000E29D2" w:rsidRPr="000E29D2">
        <w:rPr>
          <w:i/>
          <w:iCs/>
        </w:rPr>
        <w:t xml:space="preserve"> </w:t>
      </w:r>
      <w:r w:rsidR="000E29D2">
        <w:rPr>
          <w:i/>
          <w:iCs/>
        </w:rPr>
        <w:t>If yes, describe and explain why it is necessary to interfere with human rights and why it is proportionate to do so.</w:t>
      </w:r>
    </w:p>
    <w:p w14:paraId="036F641C" w14:textId="77777777" w:rsidR="00BA42A8" w:rsidRDefault="00BA42A8" w:rsidP="00B76878">
      <w:pPr>
        <w:widowControl w:val="0"/>
        <w:suppressAutoHyphens w:val="0"/>
        <w:spacing w:line="252" w:lineRule="auto"/>
        <w:jc w:val="left"/>
        <w:rPr>
          <w:i/>
          <w:iCs/>
        </w:rPr>
      </w:pPr>
    </w:p>
    <w:p w14:paraId="1C779F60" w14:textId="140FFBDC" w:rsidR="00BA42A8" w:rsidRDefault="00393E6B" w:rsidP="00B76878">
      <w:pPr>
        <w:pStyle w:val="Heading3"/>
        <w:keepNext w:val="0"/>
        <w:widowControl w:val="0"/>
        <w:suppressAutoHyphens w:val="0"/>
        <w:jc w:val="left"/>
      </w:pPr>
      <w:r>
        <w:t>Considering the proposed use for direct care, a</w:t>
      </w:r>
      <w:r w:rsidR="000E29D2">
        <w:t xml:space="preserve">ny </w:t>
      </w:r>
      <w:r w:rsidR="000E29D2" w:rsidRPr="000E29D2">
        <w:t>interference with</w:t>
      </w:r>
      <w:r w:rsidR="000E29D2">
        <w:t xml:space="preserve"> Article 8 of the</w:t>
      </w:r>
      <w:r w:rsidR="000E29D2" w:rsidRPr="000E29D2">
        <w:t xml:space="preserve"> Human Rights</w:t>
      </w:r>
      <w:r w:rsidR="000E29D2">
        <w:t xml:space="preserve"> Act</w:t>
      </w:r>
      <w:r>
        <w:t xml:space="preserve"> can be</w:t>
      </w:r>
      <w:r w:rsidR="00F63B72">
        <w:t xml:space="preserve"> considered to be an appropriate balance of the individual’s rights</w:t>
      </w:r>
      <w:r w:rsidR="00D70988">
        <w:t xml:space="preserve">. </w:t>
      </w:r>
    </w:p>
    <w:p w14:paraId="3429E14B" w14:textId="591CF9A0" w:rsidR="00BA42A8" w:rsidRDefault="00D70988" w:rsidP="00B76878">
      <w:pPr>
        <w:pStyle w:val="Heading2"/>
        <w:keepNext w:val="0"/>
        <w:widowControl w:val="0"/>
        <w:suppressAutoHyphens w:val="0"/>
        <w:spacing w:line="252" w:lineRule="auto"/>
      </w:pPr>
      <w:bookmarkStart w:id="24" w:name="_Toc89094113"/>
      <w:bookmarkStart w:id="25" w:name="_Ref93666502"/>
      <w:bookmarkStart w:id="26" w:name="_Toc153880788"/>
      <w:r>
        <w:t>Transparency</w:t>
      </w:r>
      <w:bookmarkEnd w:id="24"/>
      <w:bookmarkEnd w:id="25"/>
      <w:bookmarkEnd w:id="26"/>
    </w:p>
    <w:p w14:paraId="45B4D5A9" w14:textId="77777777" w:rsidR="00BA42A8" w:rsidRDefault="00D70988" w:rsidP="00B76878">
      <w:pPr>
        <w:widowControl w:val="0"/>
        <w:suppressAutoHyphens w:val="0"/>
        <w:spacing w:line="252" w:lineRule="auto"/>
        <w:jc w:val="left"/>
        <w:rPr>
          <w:i/>
          <w:iCs/>
        </w:rPr>
      </w:pPr>
      <w:r>
        <w:rPr>
          <w:i/>
          <w:iCs/>
        </w:rPr>
        <w:t>Describe here how you will communicate with the public. For example, update privacy notice, patient information leaflets, posters, information on websites.</w:t>
      </w:r>
    </w:p>
    <w:p w14:paraId="45757EF3" w14:textId="77777777" w:rsidR="00BA42A8" w:rsidRDefault="00BA42A8" w:rsidP="00B76878">
      <w:pPr>
        <w:widowControl w:val="0"/>
        <w:suppressAutoHyphens w:val="0"/>
        <w:spacing w:line="252" w:lineRule="auto"/>
        <w:jc w:val="left"/>
      </w:pPr>
    </w:p>
    <w:p w14:paraId="4793FFDA" w14:textId="3729313A" w:rsidR="005F43EB" w:rsidRDefault="00F31EA5" w:rsidP="00B76878">
      <w:pPr>
        <w:pStyle w:val="Heading3"/>
        <w:keepNext w:val="0"/>
        <w:widowControl w:val="0"/>
        <w:suppressAutoHyphens w:val="0"/>
      </w:pPr>
      <w:r>
        <w:t>The use</w:t>
      </w:r>
      <w:r w:rsidR="00B34535">
        <w:t xml:space="preserve"> in scope of this DSA is</w:t>
      </w:r>
      <w:r>
        <w:t xml:space="preserve"> </w:t>
      </w:r>
      <w:r w:rsidR="00B34535">
        <w:t>for</w:t>
      </w:r>
      <w:r>
        <w:t xml:space="preserve"> direct care</w:t>
      </w:r>
      <w:r w:rsidR="00B34535">
        <w:t xml:space="preserve"> and therefore</w:t>
      </w:r>
      <w:r w:rsidR="00596AC7">
        <w:t xml:space="preserve"> in scope</w:t>
      </w:r>
      <w:r w:rsidR="00661372">
        <w:t xml:space="preserve"> of</w:t>
      </w:r>
      <w:r w:rsidR="00B34535">
        <w:t xml:space="preserve"> </w:t>
      </w:r>
      <w:r>
        <w:t xml:space="preserve">the </w:t>
      </w:r>
      <w:r w:rsidR="00195E7D">
        <w:t xml:space="preserve">current GM-wide </w:t>
      </w:r>
      <w:r>
        <w:t xml:space="preserve">communication campaign. </w:t>
      </w:r>
      <w:r w:rsidR="00D86064">
        <w:t>Critically it needs</w:t>
      </w:r>
      <w:r w:rsidR="00797C26">
        <w:t xml:space="preserve"> to </w:t>
      </w:r>
      <w:r w:rsidR="00195E7D">
        <w:t>ensure that all Additional Authorities are includ</w:t>
      </w:r>
      <w:r w:rsidR="00661372">
        <w:t>ed</w:t>
      </w:r>
      <w:r w:rsidR="00195E7D">
        <w:t xml:space="preserve"> within the scope of </w:t>
      </w:r>
      <w:r w:rsidR="00930B97">
        <w:t>this campaign</w:t>
      </w:r>
      <w:r w:rsidR="00195E7D">
        <w:t xml:space="preserve"> </w:t>
      </w:r>
      <w:r w:rsidR="00661372">
        <w:t xml:space="preserve">and </w:t>
      </w:r>
      <w:r w:rsidR="00195E7D">
        <w:t xml:space="preserve">that the focus is on the provision of care to </w:t>
      </w:r>
      <w:r w:rsidR="00801D42">
        <w:t>patient</w:t>
      </w:r>
      <w:r w:rsidR="00195E7D">
        <w:t xml:space="preserve">s </w:t>
      </w:r>
      <w:r w:rsidR="00D976C9">
        <w:t xml:space="preserve">regardless of </w:t>
      </w:r>
      <w:r w:rsidR="00195E7D">
        <w:t>whether p</w:t>
      </w:r>
      <w:r w:rsidR="005F43EB">
        <w:t xml:space="preserve">rovided by the </w:t>
      </w:r>
      <w:r w:rsidR="002D42B8">
        <w:t>Participants</w:t>
      </w:r>
      <w:r w:rsidR="005F43EB">
        <w:t xml:space="preserve"> or by the Additional Authorities.</w:t>
      </w:r>
    </w:p>
    <w:p w14:paraId="13CB244A" w14:textId="7457FEF3" w:rsidR="00BA42A8" w:rsidRDefault="00801D42" w:rsidP="00B76878">
      <w:pPr>
        <w:pStyle w:val="Heading3"/>
        <w:keepNext w:val="0"/>
        <w:widowControl w:val="0"/>
        <w:suppressAutoHyphens w:val="0"/>
      </w:pPr>
      <w:r>
        <w:t xml:space="preserve">Authorities must also refer to </w:t>
      </w:r>
      <w:r w:rsidR="005F43EB">
        <w:t xml:space="preserve">Section 5 on </w:t>
      </w:r>
      <w:r w:rsidR="007C7CF5">
        <w:t>t</w:t>
      </w:r>
      <w:r w:rsidR="005F43EB">
        <w:t xml:space="preserve">ransparency in the </w:t>
      </w:r>
      <w:r w:rsidR="001325A8">
        <w:t>Rules of Engagement</w:t>
      </w:r>
      <w:r w:rsidR="005F43EB">
        <w:t xml:space="preserve"> </w:t>
      </w:r>
      <w:r>
        <w:t xml:space="preserve">as regards their role and responsibilities </w:t>
      </w:r>
      <w:r w:rsidR="00CF1C55">
        <w:t>in that respect</w:t>
      </w:r>
      <w:r w:rsidR="00D70988">
        <w:t xml:space="preserve">. </w:t>
      </w:r>
    </w:p>
    <w:p w14:paraId="5EDBF268" w14:textId="390B65FE" w:rsidR="00BA42A8" w:rsidRDefault="00D70988" w:rsidP="00B76878">
      <w:pPr>
        <w:pStyle w:val="Heading2"/>
        <w:keepNext w:val="0"/>
        <w:widowControl w:val="0"/>
        <w:suppressAutoHyphens w:val="0"/>
        <w:spacing w:line="252" w:lineRule="auto"/>
      </w:pPr>
      <w:bookmarkStart w:id="27" w:name="_Toc89094114"/>
      <w:bookmarkStart w:id="28" w:name="_Toc153880789"/>
      <w:r>
        <w:t>How will the data sharing be carried out?</w:t>
      </w:r>
      <w:bookmarkEnd w:id="27"/>
      <w:bookmarkEnd w:id="28"/>
    </w:p>
    <w:p w14:paraId="36EF61B7" w14:textId="77777777" w:rsidR="00BA42A8" w:rsidRDefault="00D70988" w:rsidP="00B76878">
      <w:pPr>
        <w:widowControl w:val="0"/>
        <w:suppressAutoHyphens w:val="0"/>
        <w:spacing w:line="252" w:lineRule="auto"/>
        <w:jc w:val="left"/>
        <w:rPr>
          <w:i/>
          <w:iCs/>
        </w:rPr>
      </w:pPr>
      <w:r>
        <w:rPr>
          <w:i/>
          <w:iCs/>
        </w:rPr>
        <w:t>Describe the mechanism by which you will share data. Give an explanation of why this is secure and which organisation is responsible for ensuring security.</w:t>
      </w:r>
    </w:p>
    <w:p w14:paraId="18846C78" w14:textId="77777777" w:rsidR="00BA42A8" w:rsidRDefault="00BA42A8" w:rsidP="00B76878">
      <w:pPr>
        <w:widowControl w:val="0"/>
        <w:suppressAutoHyphens w:val="0"/>
        <w:spacing w:line="252" w:lineRule="auto"/>
        <w:jc w:val="left"/>
        <w:rPr>
          <w:i/>
          <w:iCs/>
        </w:rPr>
      </w:pPr>
    </w:p>
    <w:p w14:paraId="2B41F9E8" w14:textId="77777777" w:rsidR="00BA42A8" w:rsidRDefault="00D70988" w:rsidP="00B76878">
      <w:pPr>
        <w:widowControl w:val="0"/>
        <w:suppressAutoHyphens w:val="0"/>
        <w:spacing w:line="252" w:lineRule="auto"/>
        <w:jc w:val="left"/>
        <w:rPr>
          <w:i/>
          <w:iCs/>
        </w:rPr>
      </w:pPr>
      <w:r>
        <w:rPr>
          <w:i/>
          <w:iCs/>
        </w:rPr>
        <w:t>Describe how you will share any outputs or analysis and explain why this is secure, necessary and proportionate.</w:t>
      </w:r>
    </w:p>
    <w:p w14:paraId="1D1D099B" w14:textId="77777777" w:rsidR="00BA42A8" w:rsidRDefault="00BA42A8" w:rsidP="00B76878">
      <w:pPr>
        <w:widowControl w:val="0"/>
        <w:suppressAutoHyphens w:val="0"/>
        <w:spacing w:line="252" w:lineRule="auto"/>
        <w:jc w:val="left"/>
        <w:rPr>
          <w:i/>
          <w:iCs/>
        </w:rPr>
      </w:pPr>
    </w:p>
    <w:p w14:paraId="7E064E5B" w14:textId="77777777" w:rsidR="00BA42A8" w:rsidRDefault="00D70988" w:rsidP="00B76878">
      <w:pPr>
        <w:widowControl w:val="0"/>
        <w:suppressAutoHyphens w:val="0"/>
        <w:spacing w:line="252" w:lineRule="auto"/>
        <w:jc w:val="left"/>
        <w:rPr>
          <w:i/>
          <w:iCs/>
        </w:rPr>
      </w:pPr>
      <w:r>
        <w:rPr>
          <w:i/>
          <w:iCs/>
        </w:rPr>
        <w:t>Describe the frequency you expect to share data including the security precautions you will use proportionate to the level of frequency.</w:t>
      </w:r>
    </w:p>
    <w:p w14:paraId="52F8EB19" w14:textId="77777777" w:rsidR="00BA42A8" w:rsidRDefault="00BA42A8" w:rsidP="00B76878">
      <w:pPr>
        <w:widowControl w:val="0"/>
        <w:suppressAutoHyphens w:val="0"/>
        <w:spacing w:line="252" w:lineRule="auto"/>
        <w:jc w:val="left"/>
        <w:rPr>
          <w:i/>
          <w:iCs/>
        </w:rPr>
      </w:pPr>
    </w:p>
    <w:p w14:paraId="3260099B" w14:textId="77777777" w:rsidR="00BA42A8" w:rsidRDefault="00D70988" w:rsidP="00B76878">
      <w:pPr>
        <w:widowControl w:val="0"/>
        <w:suppressAutoHyphens w:val="0"/>
        <w:spacing w:line="252" w:lineRule="auto"/>
        <w:jc w:val="left"/>
        <w:rPr>
          <w:i/>
          <w:iCs/>
        </w:rPr>
      </w:pPr>
      <w:r>
        <w:rPr>
          <w:i/>
          <w:iCs/>
        </w:rPr>
        <w:t>Explain whether any information is being transferred outside the EU and, if so, relevant safeguards (this is to ensure compliance with Article 45 of the GDPR).</w:t>
      </w:r>
    </w:p>
    <w:p w14:paraId="295D4BE3" w14:textId="77777777" w:rsidR="00BA42A8" w:rsidRDefault="00BA42A8" w:rsidP="00B76878">
      <w:pPr>
        <w:widowControl w:val="0"/>
        <w:suppressAutoHyphens w:val="0"/>
        <w:spacing w:line="252" w:lineRule="auto"/>
        <w:jc w:val="left"/>
      </w:pPr>
    </w:p>
    <w:p w14:paraId="3D9B6310" w14:textId="77777777" w:rsidR="00BA42A8" w:rsidRDefault="00BA42A8" w:rsidP="00B76878">
      <w:pPr>
        <w:widowControl w:val="0"/>
        <w:suppressAutoHyphens w:val="0"/>
        <w:spacing w:line="252" w:lineRule="auto"/>
      </w:pPr>
    </w:p>
    <w:p w14:paraId="0D343575" w14:textId="6EDCA876" w:rsidR="00BA42A8" w:rsidRDefault="00D70988" w:rsidP="00B76878">
      <w:pPr>
        <w:pStyle w:val="Heading3"/>
        <w:keepNext w:val="0"/>
        <w:widowControl w:val="0"/>
        <w:suppressAutoHyphens w:val="0"/>
      </w:pPr>
      <w:r>
        <w:t xml:space="preserve">Data is already hosted and </w:t>
      </w:r>
      <w:r w:rsidR="00BA3BD4">
        <w:t>always remains</w:t>
      </w:r>
      <w:r>
        <w:t xml:space="preserve"> on the GMCR Solution</w:t>
      </w:r>
      <w:r w:rsidR="00023786">
        <w:t xml:space="preserve">. The Additional </w:t>
      </w:r>
      <w:r w:rsidR="00BA3BD4">
        <w:t>Authorities</w:t>
      </w:r>
      <w:r w:rsidR="00023786">
        <w:t xml:space="preserve"> will </w:t>
      </w:r>
      <w:r w:rsidR="00BA3BD4">
        <w:t xml:space="preserve">be able to </w:t>
      </w:r>
      <w:r w:rsidR="006F436E">
        <w:t xml:space="preserve">access the GMCR Solution </w:t>
      </w:r>
      <w:r w:rsidR="00023786">
        <w:t>to view</w:t>
      </w:r>
      <w:r w:rsidR="00AE504C">
        <w:t>, at the point of care,</w:t>
      </w:r>
      <w:r w:rsidR="00023786">
        <w:t xml:space="preserve"> the data relevant to the care of the </w:t>
      </w:r>
      <w:r w:rsidR="00801D42">
        <w:t>patient</w:t>
      </w:r>
      <w:r w:rsidR="00023786">
        <w:t xml:space="preserve">s referred to them. </w:t>
      </w:r>
      <w:r>
        <w:t xml:space="preserve"> </w:t>
      </w:r>
    </w:p>
    <w:p w14:paraId="3B2CFA83" w14:textId="4B82FDD7" w:rsidR="00BA42A8" w:rsidRDefault="00D70988" w:rsidP="00B76878">
      <w:pPr>
        <w:pStyle w:val="Heading2"/>
        <w:keepNext w:val="0"/>
        <w:widowControl w:val="0"/>
        <w:suppressAutoHyphens w:val="0"/>
        <w:spacing w:line="252" w:lineRule="auto"/>
      </w:pPr>
      <w:bookmarkStart w:id="29" w:name="_Toc89094115"/>
      <w:bookmarkStart w:id="30" w:name="_Toc153880790"/>
      <w:r>
        <w:t>Accuracy of the data being shared</w:t>
      </w:r>
      <w:bookmarkEnd w:id="29"/>
      <w:bookmarkEnd w:id="30"/>
    </w:p>
    <w:p w14:paraId="479350A7" w14:textId="77777777" w:rsidR="00BA42A8" w:rsidRDefault="00D70988" w:rsidP="00B76878">
      <w:pPr>
        <w:widowControl w:val="0"/>
        <w:suppressAutoHyphens w:val="0"/>
        <w:spacing w:line="252" w:lineRule="auto"/>
        <w:jc w:val="left"/>
        <w:rPr>
          <w:i/>
          <w:iCs/>
        </w:rPr>
      </w:pPr>
      <w:r>
        <w:rPr>
          <w:i/>
          <w:iCs/>
        </w:rPr>
        <w:t>Describe the processes or procedures that you will follow to make sure that the data you hold and share is accurate. Explain how you will share any updates with all recipients of the data.</w:t>
      </w:r>
    </w:p>
    <w:p w14:paraId="7989E112" w14:textId="77777777" w:rsidR="00BA42A8" w:rsidRDefault="00BA42A8" w:rsidP="00B76878">
      <w:pPr>
        <w:widowControl w:val="0"/>
        <w:suppressAutoHyphens w:val="0"/>
        <w:spacing w:line="252" w:lineRule="auto"/>
        <w:jc w:val="left"/>
      </w:pPr>
    </w:p>
    <w:p w14:paraId="4EEC4194" w14:textId="179FBB1A" w:rsidR="004D287C" w:rsidRDefault="002D42B8" w:rsidP="00B76878">
      <w:pPr>
        <w:pStyle w:val="Heading3"/>
        <w:keepNext w:val="0"/>
        <w:widowControl w:val="0"/>
        <w:suppressAutoHyphens w:val="0"/>
      </w:pPr>
      <w:r>
        <w:t>Participants</w:t>
      </w:r>
      <w:r w:rsidR="00D70988">
        <w:t xml:space="preserve"> are responsible for the accuracy of the data shared on the GMCR Solution. </w:t>
      </w:r>
    </w:p>
    <w:p w14:paraId="58072777" w14:textId="3C35025B" w:rsidR="00BA42A8" w:rsidRDefault="00D70988" w:rsidP="00B76878">
      <w:pPr>
        <w:pStyle w:val="Heading2"/>
        <w:keepNext w:val="0"/>
        <w:widowControl w:val="0"/>
        <w:suppressAutoHyphens w:val="0"/>
        <w:spacing w:line="252" w:lineRule="auto"/>
      </w:pPr>
      <w:bookmarkStart w:id="31" w:name="_Toc89094116"/>
      <w:bookmarkStart w:id="32" w:name="_Toc153880791"/>
      <w:r>
        <w:t>Rectification of data that has been shared</w:t>
      </w:r>
      <w:bookmarkEnd w:id="31"/>
      <w:bookmarkEnd w:id="32"/>
    </w:p>
    <w:p w14:paraId="2581F45F" w14:textId="77777777" w:rsidR="00BA42A8" w:rsidRDefault="00D70988" w:rsidP="00B76878">
      <w:pPr>
        <w:widowControl w:val="0"/>
        <w:suppressAutoHyphens w:val="0"/>
        <w:spacing w:line="252" w:lineRule="auto"/>
        <w:jc w:val="left"/>
        <w:rPr>
          <w:i/>
          <w:iCs/>
        </w:rPr>
      </w:pPr>
      <w:r>
        <w:rPr>
          <w:i/>
          <w:iCs/>
        </w:rPr>
        <w:t xml:space="preserve">Describe the procedures that are in place or will be put in place, for the parties to this agreement to rectify: </w:t>
      </w:r>
    </w:p>
    <w:p w14:paraId="0588A8D2" w14:textId="77777777" w:rsidR="00BA42A8" w:rsidRDefault="00D70988" w:rsidP="00B76878">
      <w:pPr>
        <w:pStyle w:val="ListParagraph"/>
        <w:widowControl w:val="0"/>
        <w:numPr>
          <w:ilvl w:val="0"/>
          <w:numId w:val="12"/>
        </w:numPr>
        <w:suppressAutoHyphens w:val="0"/>
        <w:spacing w:line="252" w:lineRule="auto"/>
        <w:jc w:val="left"/>
        <w:rPr>
          <w:i/>
          <w:iCs/>
        </w:rPr>
      </w:pPr>
      <w:r>
        <w:rPr>
          <w:i/>
          <w:iCs/>
        </w:rPr>
        <w:t>inaccurate data that has been shared</w:t>
      </w:r>
    </w:p>
    <w:p w14:paraId="66C13EA1" w14:textId="77777777" w:rsidR="00BA42A8" w:rsidRDefault="00D70988" w:rsidP="00B76878">
      <w:pPr>
        <w:pStyle w:val="ListParagraph"/>
        <w:widowControl w:val="0"/>
        <w:numPr>
          <w:ilvl w:val="0"/>
          <w:numId w:val="12"/>
        </w:numPr>
        <w:suppressAutoHyphens w:val="0"/>
        <w:spacing w:line="252" w:lineRule="auto"/>
        <w:jc w:val="left"/>
        <w:rPr>
          <w:i/>
          <w:iCs/>
        </w:rPr>
      </w:pPr>
      <w:r>
        <w:rPr>
          <w:i/>
          <w:iCs/>
        </w:rPr>
        <w:t xml:space="preserve">data that has been identified as inaccurate after sharing </w:t>
      </w:r>
    </w:p>
    <w:p w14:paraId="1E8C8520" w14:textId="77777777" w:rsidR="00BA42A8" w:rsidRDefault="00BA42A8" w:rsidP="00B76878">
      <w:pPr>
        <w:pStyle w:val="ListParagraph"/>
        <w:widowControl w:val="0"/>
        <w:suppressAutoHyphens w:val="0"/>
        <w:spacing w:line="252" w:lineRule="auto"/>
        <w:jc w:val="left"/>
        <w:rPr>
          <w:i/>
          <w:iCs/>
        </w:rPr>
      </w:pPr>
    </w:p>
    <w:p w14:paraId="0FDBDFEA" w14:textId="77777777" w:rsidR="00BA42A8" w:rsidRDefault="00D70988" w:rsidP="00B76878">
      <w:pPr>
        <w:widowControl w:val="0"/>
        <w:suppressAutoHyphens w:val="0"/>
        <w:spacing w:line="252" w:lineRule="auto"/>
        <w:jc w:val="left"/>
      </w:pPr>
      <w:r>
        <w:rPr>
          <w:i/>
          <w:iCs/>
          <w:shd w:val="clear" w:color="auto" w:fill="FFFFFF"/>
        </w:rPr>
        <w:t>This is separate to the individual's right to rectification</w:t>
      </w:r>
      <w:r>
        <w:rPr>
          <w:i/>
          <w:iCs/>
        </w:rPr>
        <w:t>.</w:t>
      </w:r>
    </w:p>
    <w:p w14:paraId="0129CBD5" w14:textId="77777777" w:rsidR="00BA42A8" w:rsidRDefault="00BA42A8" w:rsidP="00B76878">
      <w:pPr>
        <w:widowControl w:val="0"/>
        <w:suppressAutoHyphens w:val="0"/>
        <w:spacing w:line="252" w:lineRule="auto"/>
        <w:jc w:val="left"/>
        <w:rPr>
          <w:i/>
          <w:iCs/>
        </w:rPr>
      </w:pPr>
    </w:p>
    <w:p w14:paraId="626E6F0E" w14:textId="50310CF9" w:rsidR="00624CA7" w:rsidRDefault="00624CA7" w:rsidP="00624CA7">
      <w:pPr>
        <w:pStyle w:val="Heading3"/>
        <w:keepNext w:val="0"/>
        <w:widowControl w:val="0"/>
        <w:suppressAutoHyphens w:val="0"/>
      </w:pPr>
      <w:r>
        <w:t xml:space="preserve">The lead controller coordinates queries and ensures that the </w:t>
      </w:r>
      <w:r w:rsidR="002D42B8">
        <w:t>Participants</w:t>
      </w:r>
      <w:r>
        <w:t xml:space="preserve"> comply with their obligations under the Joint Controller Agreement and associated Rules of Engagement and that the Additional Authorities address any comments or requests raised by Patients to the lead controller and/or </w:t>
      </w:r>
      <w:r w:rsidR="002D42B8">
        <w:t>Participants</w:t>
      </w:r>
      <w:r>
        <w:t xml:space="preserve"> as appropriate:</w:t>
      </w:r>
    </w:p>
    <w:p w14:paraId="41A768B1" w14:textId="04CB88FF" w:rsidR="00624CA7" w:rsidRDefault="00624CA7" w:rsidP="00624CA7">
      <w:pPr>
        <w:pStyle w:val="Heading3"/>
        <w:keepNext w:val="0"/>
        <w:widowControl w:val="0"/>
        <w:numPr>
          <w:ilvl w:val="0"/>
          <w:numId w:val="28"/>
        </w:numPr>
        <w:suppressAutoHyphens w:val="0"/>
      </w:pPr>
      <w:r>
        <w:t xml:space="preserve">If there is any inaccuracy with the data, the Additional Authorities should liaise with the </w:t>
      </w:r>
      <w:r w:rsidR="002D42B8">
        <w:t>Participants</w:t>
      </w:r>
      <w:r>
        <w:t xml:space="preserve">; and </w:t>
      </w:r>
    </w:p>
    <w:p w14:paraId="4E682AC3" w14:textId="0F535EA1" w:rsidR="00624CA7" w:rsidRDefault="00624CA7" w:rsidP="00624CA7">
      <w:pPr>
        <w:pStyle w:val="Heading3"/>
        <w:keepNext w:val="0"/>
        <w:widowControl w:val="0"/>
        <w:numPr>
          <w:ilvl w:val="0"/>
          <w:numId w:val="28"/>
        </w:numPr>
        <w:suppressAutoHyphens w:val="0"/>
      </w:pPr>
      <w:r>
        <w:t xml:space="preserve">If these inaccuracies impact on several </w:t>
      </w:r>
      <w:r w:rsidR="002D42B8">
        <w:t>Participants</w:t>
      </w:r>
      <w:r>
        <w:t xml:space="preserve">, then it should also involve the lead controller. </w:t>
      </w:r>
    </w:p>
    <w:p w14:paraId="0D3D5A3A" w14:textId="77777777" w:rsidR="00624CA7" w:rsidRDefault="00624CA7" w:rsidP="00624CA7">
      <w:pPr>
        <w:pStyle w:val="Heading3"/>
        <w:keepNext w:val="0"/>
        <w:widowControl w:val="0"/>
        <w:suppressAutoHyphens w:val="0"/>
      </w:pPr>
      <w:r>
        <w:t xml:space="preserve">As it is not their data, it is not expected for the Additional Authorities to answer queries directly themselves. </w:t>
      </w:r>
    </w:p>
    <w:p w14:paraId="325BA68C" w14:textId="10D20CAE" w:rsidR="00BA42A8" w:rsidRDefault="00D70988" w:rsidP="00B76878">
      <w:pPr>
        <w:pStyle w:val="Heading2"/>
        <w:keepNext w:val="0"/>
        <w:widowControl w:val="0"/>
        <w:suppressAutoHyphens w:val="0"/>
        <w:spacing w:line="252" w:lineRule="auto"/>
      </w:pPr>
      <w:bookmarkStart w:id="33" w:name="_Toc89094117"/>
      <w:bookmarkStart w:id="34" w:name="_Toc153880792"/>
      <w:r>
        <w:t>Retention and disposal requirements for the information to be shared.</w:t>
      </w:r>
      <w:bookmarkEnd w:id="33"/>
      <w:bookmarkEnd w:id="34"/>
      <w:r>
        <w:t xml:space="preserve"> </w:t>
      </w:r>
    </w:p>
    <w:p w14:paraId="011124CD" w14:textId="77777777" w:rsidR="00BA42A8" w:rsidRDefault="00D70988" w:rsidP="00B76878">
      <w:pPr>
        <w:widowControl w:val="0"/>
        <w:suppressAutoHyphens w:val="0"/>
        <w:spacing w:line="252" w:lineRule="auto"/>
        <w:jc w:val="left"/>
        <w:rPr>
          <w:i/>
          <w:iCs/>
        </w:rPr>
      </w:pPr>
      <w:r>
        <w:rPr>
          <w:i/>
          <w:iCs/>
        </w:rPr>
        <w:t>If applicable, explain how you plan to return information to the source organisations.</w:t>
      </w:r>
    </w:p>
    <w:p w14:paraId="09BD7B15" w14:textId="77777777" w:rsidR="00BA42A8" w:rsidRDefault="00BA42A8" w:rsidP="00B76878">
      <w:pPr>
        <w:widowControl w:val="0"/>
        <w:suppressAutoHyphens w:val="0"/>
        <w:spacing w:line="252" w:lineRule="auto"/>
        <w:jc w:val="left"/>
        <w:rPr>
          <w:i/>
          <w:iCs/>
        </w:rPr>
      </w:pPr>
    </w:p>
    <w:p w14:paraId="418DDDDF" w14:textId="410C8331" w:rsidR="004E3648" w:rsidRDefault="00A67552" w:rsidP="00B76878">
      <w:pPr>
        <w:pStyle w:val="Heading3"/>
        <w:keepNext w:val="0"/>
        <w:widowControl w:val="0"/>
        <w:suppressAutoHyphens w:val="0"/>
      </w:pPr>
      <w:r w:rsidRPr="00A67552">
        <w:t xml:space="preserve">Each </w:t>
      </w:r>
      <w:r>
        <w:t>GM Authority</w:t>
      </w:r>
      <w:r w:rsidRPr="00A67552">
        <w:t xml:space="preserve"> retains its data in accordance with the Records Management Code of Practice for Health and Social Care (2021)</w:t>
      </w:r>
      <w:r w:rsidR="00706A81">
        <w:t xml:space="preserve"> as further set out in the JCA</w:t>
      </w:r>
      <w:r w:rsidRPr="00A67552">
        <w:t>.</w:t>
      </w:r>
      <w:r w:rsidR="00FA5F81">
        <w:t xml:space="preserve"> </w:t>
      </w:r>
      <w:r w:rsidR="007C7A7C">
        <w:t>Additional Autho</w:t>
      </w:r>
      <w:r w:rsidR="00FA5F81">
        <w:t>r</w:t>
      </w:r>
      <w:r w:rsidR="007C7A7C">
        <w:t>i</w:t>
      </w:r>
      <w:r w:rsidR="00FA5F81">
        <w:t>ti</w:t>
      </w:r>
      <w:r w:rsidR="007C7A7C">
        <w:t>es do not</w:t>
      </w:r>
      <w:r w:rsidR="00D86064">
        <w:t xml:space="preserve"> contribute</w:t>
      </w:r>
      <w:r w:rsidR="007C7A7C">
        <w:t xml:space="preserve"> any dat</w:t>
      </w:r>
      <w:r w:rsidR="00FA5F81">
        <w:t>a</w:t>
      </w:r>
      <w:r w:rsidR="007C7A7C">
        <w:t xml:space="preserve"> and </w:t>
      </w:r>
      <w:r w:rsidR="00FA5F81">
        <w:t xml:space="preserve">the processing in scope of this DSA is not </w:t>
      </w:r>
      <w:r w:rsidR="007C7A7C">
        <w:t xml:space="preserve">subject to any </w:t>
      </w:r>
      <w:r w:rsidR="00FA5F81">
        <w:t xml:space="preserve">additional </w:t>
      </w:r>
      <w:r w:rsidR="007C7A7C">
        <w:t>retention or disposal requirements</w:t>
      </w:r>
      <w:r w:rsidR="00FA5F81">
        <w:t>.</w:t>
      </w:r>
    </w:p>
    <w:p w14:paraId="17787248" w14:textId="76A66D71" w:rsidR="00BA42A8" w:rsidRDefault="00D70988" w:rsidP="00B76878">
      <w:pPr>
        <w:pStyle w:val="Heading2"/>
        <w:keepNext w:val="0"/>
        <w:widowControl w:val="0"/>
        <w:suppressAutoHyphens w:val="0"/>
        <w:spacing w:line="252" w:lineRule="auto"/>
      </w:pPr>
      <w:bookmarkStart w:id="35" w:name="_Toc89094118"/>
      <w:bookmarkStart w:id="36" w:name="_Toc153880793"/>
      <w:r>
        <w:t>Breach management</w:t>
      </w:r>
      <w:bookmarkEnd w:id="35"/>
      <w:bookmarkEnd w:id="36"/>
    </w:p>
    <w:p w14:paraId="02C4E863" w14:textId="77777777" w:rsidR="00BA42A8" w:rsidRDefault="00D70988" w:rsidP="00B76878">
      <w:pPr>
        <w:widowControl w:val="0"/>
        <w:suppressAutoHyphens w:val="0"/>
        <w:spacing w:line="252" w:lineRule="auto"/>
        <w:jc w:val="left"/>
        <w:rPr>
          <w:i/>
          <w:iCs/>
        </w:rPr>
      </w:pPr>
      <w:r>
        <w:rPr>
          <w:i/>
          <w:iCs/>
        </w:rPr>
        <w:lastRenderedPageBreak/>
        <w:t>Outline the process for how any breach of data security or confidentiality will be managed by relevant parties.</w:t>
      </w:r>
    </w:p>
    <w:p w14:paraId="5713C23B" w14:textId="76AF445E" w:rsidR="00BA42A8" w:rsidRDefault="00D70988" w:rsidP="00B76878">
      <w:pPr>
        <w:pStyle w:val="Heading3"/>
        <w:keepNext w:val="0"/>
        <w:widowControl w:val="0"/>
        <w:suppressAutoHyphens w:val="0"/>
      </w:pPr>
      <w:r>
        <w:t>Any incidents occurring as a result of this DSA should be reported to</w:t>
      </w:r>
      <w:r w:rsidR="00881F28">
        <w:t xml:space="preserve"> the</w:t>
      </w:r>
      <w:r>
        <w:t xml:space="preserve"> lead controller who will then inform </w:t>
      </w:r>
      <w:r w:rsidR="004131E4">
        <w:t xml:space="preserve">all </w:t>
      </w:r>
      <w:r>
        <w:t xml:space="preserve">the </w:t>
      </w:r>
      <w:r w:rsidR="002D42B8">
        <w:t>Participants</w:t>
      </w:r>
      <w:r w:rsidR="00270526">
        <w:t xml:space="preserve"> and the </w:t>
      </w:r>
      <w:r w:rsidR="009D0BF2">
        <w:t>Additional Authorities</w:t>
      </w:r>
      <w:r>
        <w:t xml:space="preserve">. They will then pass on the information in accordance with incident reporting procedures within their own organisation if appropriate. </w:t>
      </w:r>
      <w:r w:rsidR="007D3E73">
        <w:t>A</w:t>
      </w:r>
      <w:r w:rsidR="007D3E73" w:rsidRPr="007D3E73">
        <w:t xml:space="preserve">ll the </w:t>
      </w:r>
      <w:r w:rsidR="002D42B8">
        <w:t>Participants</w:t>
      </w:r>
      <w:r w:rsidR="007D3E73" w:rsidRPr="007D3E73">
        <w:t xml:space="preserve"> and the Additional Authorities</w:t>
      </w:r>
      <w:r>
        <w:t xml:space="preserve"> agree to share information with the lead controller in order to help investigate any such incidents.</w:t>
      </w:r>
    </w:p>
    <w:p w14:paraId="5C7D8ACB" w14:textId="1B6FDD57" w:rsidR="00BA42A8" w:rsidRDefault="00D70988" w:rsidP="00B76878">
      <w:pPr>
        <w:pStyle w:val="Heading2"/>
        <w:keepNext w:val="0"/>
        <w:widowControl w:val="0"/>
        <w:suppressAutoHyphens w:val="0"/>
        <w:spacing w:line="252" w:lineRule="auto"/>
      </w:pPr>
      <w:bookmarkStart w:id="37" w:name="_Toc89094119"/>
      <w:bookmarkStart w:id="38" w:name="_Toc153880794"/>
      <w:r>
        <w:t>State what each organisation will be responsible for by the terms of this agreement</w:t>
      </w:r>
      <w:bookmarkEnd w:id="37"/>
      <w:bookmarkEnd w:id="38"/>
    </w:p>
    <w:p w14:paraId="574279F1" w14:textId="74F291B9" w:rsidR="00BA42A8" w:rsidRDefault="00D70988" w:rsidP="00B76878">
      <w:pPr>
        <w:widowControl w:val="0"/>
        <w:suppressAutoHyphens w:val="0"/>
        <w:spacing w:line="252" w:lineRule="auto"/>
        <w:jc w:val="left"/>
        <w:rPr>
          <w:i/>
          <w:iCs/>
        </w:rPr>
      </w:pPr>
      <w:r>
        <w:rPr>
          <w:i/>
          <w:iCs/>
        </w:rPr>
        <w:t>For example, organisation A will deal with complaints, organisation B will handle risk.</w:t>
      </w:r>
    </w:p>
    <w:p w14:paraId="18CD5328" w14:textId="77777777" w:rsidR="00111EC2" w:rsidRDefault="00111EC2" w:rsidP="00B76878">
      <w:pPr>
        <w:widowControl w:val="0"/>
        <w:suppressAutoHyphens w:val="0"/>
        <w:spacing w:line="252" w:lineRule="auto"/>
        <w:jc w:val="left"/>
        <w:rPr>
          <w:i/>
          <w:iCs/>
        </w:rPr>
      </w:pPr>
    </w:p>
    <w:p w14:paraId="72B8651F" w14:textId="4D2E582F" w:rsidR="00AB47B9" w:rsidRDefault="00466E6E" w:rsidP="00B76878">
      <w:pPr>
        <w:pStyle w:val="Heading3"/>
        <w:keepNext w:val="0"/>
        <w:widowControl w:val="0"/>
        <w:suppressAutoHyphens w:val="0"/>
      </w:pPr>
      <w:r>
        <w:t>All parties must comply with the terms of this DSA</w:t>
      </w:r>
      <w:r w:rsidR="00544BB6">
        <w:t>.</w:t>
      </w:r>
      <w:r>
        <w:t xml:space="preserve"> </w:t>
      </w:r>
    </w:p>
    <w:p w14:paraId="1FC437C7" w14:textId="1811D4EE" w:rsidR="00466E6E" w:rsidRDefault="00AB47B9" w:rsidP="00B76878">
      <w:pPr>
        <w:pStyle w:val="Heading3"/>
        <w:keepNext w:val="0"/>
        <w:widowControl w:val="0"/>
        <w:suppressAutoHyphens w:val="0"/>
      </w:pPr>
      <w:r>
        <w:t xml:space="preserve">The Additional Authorities </w:t>
      </w:r>
      <w:r w:rsidR="001E278A">
        <w:t>acknowledge</w:t>
      </w:r>
      <w:r>
        <w:t xml:space="preserve"> that the </w:t>
      </w:r>
      <w:r w:rsidR="002D42B8">
        <w:t>Participants</w:t>
      </w:r>
      <w:r>
        <w:t xml:space="preserve"> are bound by the JCA </w:t>
      </w:r>
      <w:r w:rsidR="00466E6E">
        <w:t>including the Rules of Engagement</w:t>
      </w:r>
      <w:r>
        <w:t xml:space="preserve"> attached in Annex </w:t>
      </w:r>
      <w:r w:rsidR="00513EC0">
        <w:t>C</w:t>
      </w:r>
      <w:r w:rsidR="00466E6E">
        <w:t xml:space="preserve">. </w:t>
      </w:r>
      <w:r w:rsidR="005E4638">
        <w:t xml:space="preserve">As a condition to the use </w:t>
      </w:r>
      <w:r w:rsidR="009A5FF8">
        <w:t>of the GMCR Solution, t</w:t>
      </w:r>
      <w:r>
        <w:t xml:space="preserve">he Additional </w:t>
      </w:r>
      <w:r w:rsidR="00513EC0">
        <w:t xml:space="preserve">Authorities agree to comply with the sections </w:t>
      </w:r>
      <w:r w:rsidR="00B21C86">
        <w:t xml:space="preserve">of the Rules of Engagement </w:t>
      </w:r>
      <w:r w:rsidR="00513EC0">
        <w:t xml:space="preserve">which are relevant to them and </w:t>
      </w:r>
      <w:r w:rsidR="00544BB6">
        <w:t>more particularly sections</w:t>
      </w:r>
      <w:r w:rsidR="00D45B51">
        <w:t xml:space="preserve"> 2.7, 2.8, </w:t>
      </w:r>
      <w:r w:rsidR="005630BF">
        <w:t xml:space="preserve">3.1, 3.2, </w:t>
      </w:r>
      <w:r w:rsidR="008E06B3">
        <w:t>4.5-4.1</w:t>
      </w:r>
      <w:r w:rsidR="00891C3F">
        <w:t>3</w:t>
      </w:r>
      <w:r w:rsidR="008E06B3">
        <w:t xml:space="preserve">, </w:t>
      </w:r>
      <w:r w:rsidR="004729CC">
        <w:t xml:space="preserve">5, </w:t>
      </w:r>
      <w:r w:rsidR="005630BF">
        <w:t>6, 7</w:t>
      </w:r>
      <w:r w:rsidR="000644EB">
        <w:t xml:space="preserve"> and</w:t>
      </w:r>
      <w:r w:rsidR="005630BF">
        <w:t xml:space="preserve"> </w:t>
      </w:r>
      <w:r w:rsidR="008E06B3">
        <w:t>8</w:t>
      </w:r>
      <w:r w:rsidR="000644EB">
        <w:t>.</w:t>
      </w:r>
      <w:r w:rsidR="00544BB6">
        <w:t xml:space="preserve"> A</w:t>
      </w:r>
      <w:r w:rsidR="00513EC0">
        <w:t xml:space="preserve">ll references to </w:t>
      </w:r>
      <w:r w:rsidR="000644EB">
        <w:t>Participants</w:t>
      </w:r>
      <w:r w:rsidR="00513EC0">
        <w:t xml:space="preserve"> in the Rules</w:t>
      </w:r>
      <w:r w:rsidR="000644EB">
        <w:t xml:space="preserve"> of Engagement</w:t>
      </w:r>
      <w:r w:rsidR="00513EC0">
        <w:t xml:space="preserve"> </w:t>
      </w:r>
      <w:r w:rsidR="00544BB6">
        <w:t xml:space="preserve">shall </w:t>
      </w:r>
      <w:r w:rsidR="00D45B51">
        <w:t xml:space="preserve">therefore also </w:t>
      </w:r>
      <w:r w:rsidR="001E278A">
        <w:t>include the</w:t>
      </w:r>
      <w:r w:rsidR="00544BB6">
        <w:t xml:space="preserve"> Additional </w:t>
      </w:r>
      <w:r w:rsidR="00D45B51">
        <w:t xml:space="preserve">Authorities </w:t>
      </w:r>
      <w:r w:rsidR="001E278A">
        <w:t xml:space="preserve">for the purpose of this DSA. </w:t>
      </w:r>
    </w:p>
    <w:p w14:paraId="7C113334" w14:textId="43CD6258" w:rsidR="00BA42A8" w:rsidRDefault="00D70988" w:rsidP="00B76878">
      <w:pPr>
        <w:pStyle w:val="Heading3"/>
        <w:keepNext w:val="0"/>
        <w:widowControl w:val="0"/>
        <w:suppressAutoHyphens w:val="0"/>
      </w:pPr>
      <w:r>
        <w:t xml:space="preserve">The lead controller has oversight of the </w:t>
      </w:r>
      <w:r w:rsidR="002D42B8">
        <w:t>Participants</w:t>
      </w:r>
      <w:r>
        <w:t>’ compliance with their responsibilities pursuant to the Joint Controller Agreement</w:t>
      </w:r>
      <w:r w:rsidR="0030476C">
        <w:t xml:space="preserve"> and the parties’ compliance with this DSA</w:t>
      </w:r>
      <w:r>
        <w:t xml:space="preserve">. It is also responsible </w:t>
      </w:r>
      <w:r w:rsidR="009647E8">
        <w:t xml:space="preserve">for </w:t>
      </w:r>
      <w:r>
        <w:t>investigat</w:t>
      </w:r>
      <w:r w:rsidR="009647E8">
        <w:t>ing</w:t>
      </w:r>
      <w:r>
        <w:t xml:space="preserve"> complaints and deal</w:t>
      </w:r>
      <w:r w:rsidR="009647E8">
        <w:t>ing</w:t>
      </w:r>
      <w:r>
        <w:t xml:space="preserve"> with data subject queries (liaising with the </w:t>
      </w:r>
      <w:r w:rsidR="002D42B8">
        <w:t>Participants</w:t>
      </w:r>
      <w:r>
        <w:t xml:space="preserve"> </w:t>
      </w:r>
      <w:r w:rsidR="00AA0BC2">
        <w:t xml:space="preserve">and the </w:t>
      </w:r>
      <w:r w:rsidR="009D0BF2">
        <w:t>Additional Authorities</w:t>
      </w:r>
      <w:r w:rsidR="00AA0BC2">
        <w:t xml:space="preserve"> </w:t>
      </w:r>
      <w:r>
        <w:t xml:space="preserve">as appropriate to </w:t>
      </w:r>
      <w:r w:rsidR="00EE3692">
        <w:t xml:space="preserve">process </w:t>
      </w:r>
      <w:r>
        <w:t xml:space="preserve">the queries).  </w:t>
      </w:r>
    </w:p>
    <w:p w14:paraId="12F50243" w14:textId="77777777" w:rsidR="00BA42A8" w:rsidRDefault="00BA42A8" w:rsidP="00B76878">
      <w:pPr>
        <w:widowControl w:val="0"/>
        <w:suppressAutoHyphens w:val="0"/>
        <w:spacing w:line="252" w:lineRule="auto"/>
        <w:rPr>
          <w:b/>
        </w:rPr>
      </w:pPr>
    </w:p>
    <w:p w14:paraId="5C648AC5" w14:textId="059AB1DB" w:rsidR="00BA42A8" w:rsidRDefault="00D70988" w:rsidP="00B76878">
      <w:pPr>
        <w:pStyle w:val="Heading2"/>
        <w:keepNext w:val="0"/>
        <w:widowControl w:val="0"/>
        <w:suppressAutoHyphens w:val="0"/>
        <w:spacing w:line="252" w:lineRule="auto"/>
      </w:pPr>
      <w:bookmarkStart w:id="39" w:name="_Toc89094121"/>
      <w:bookmarkStart w:id="40" w:name="_Toc153880795"/>
      <w:r>
        <w:t>Contacts – Information Governance (IG) and Caldicott Guardian</w:t>
      </w:r>
      <w:bookmarkEnd w:id="39"/>
      <w:bookmarkEnd w:id="40"/>
    </w:p>
    <w:p w14:paraId="182C9DE2" w14:textId="77777777" w:rsidR="00BA42A8" w:rsidRDefault="00D70988" w:rsidP="00B76878">
      <w:pPr>
        <w:widowControl w:val="0"/>
        <w:suppressAutoHyphens w:val="0"/>
        <w:spacing w:line="252" w:lineRule="auto"/>
        <w:jc w:val="left"/>
        <w:rPr>
          <w:i/>
          <w:iCs/>
        </w:rPr>
      </w:pPr>
      <w:r>
        <w:rPr>
          <w:i/>
          <w:iCs/>
        </w:rPr>
        <w:t>List here the IG contacts for each organisation.</w:t>
      </w:r>
    </w:p>
    <w:p w14:paraId="430966F1" w14:textId="77777777" w:rsidR="00B161E3" w:rsidRDefault="00B161E3" w:rsidP="00B76878">
      <w:pPr>
        <w:widowControl w:val="0"/>
        <w:suppressAutoHyphens w:val="0"/>
        <w:spacing w:line="252" w:lineRule="auto"/>
        <w:jc w:val="left"/>
        <w:rPr>
          <w:i/>
          <w:iCs/>
        </w:rPr>
      </w:pPr>
    </w:p>
    <w:p w14:paraId="5C0BF2A1" w14:textId="0BD6DA4E" w:rsidR="00B161E3" w:rsidRPr="00A17DB2" w:rsidRDefault="00B161E3" w:rsidP="00B76878">
      <w:pPr>
        <w:pStyle w:val="Heading3"/>
        <w:keepNext w:val="0"/>
        <w:widowControl w:val="0"/>
        <w:suppressAutoHyphens w:val="0"/>
      </w:pPr>
      <w:r w:rsidRPr="00B161E3">
        <w:t>Contacts</w:t>
      </w:r>
      <w:r w:rsidRPr="00A17DB2">
        <w:t xml:space="preserve"> are listed in Appendix A</w:t>
      </w:r>
      <w:r>
        <w:t xml:space="preserve"> and Appendix B</w:t>
      </w:r>
    </w:p>
    <w:p w14:paraId="716D1DFB" w14:textId="154166E0" w:rsidR="00BA42A8" w:rsidRDefault="00D70988" w:rsidP="00B76878">
      <w:pPr>
        <w:pStyle w:val="Heading2"/>
        <w:keepNext w:val="0"/>
        <w:widowControl w:val="0"/>
        <w:suppressAutoHyphens w:val="0"/>
        <w:spacing w:line="252" w:lineRule="auto"/>
      </w:pPr>
      <w:bookmarkStart w:id="41" w:name="_Toc89094122"/>
      <w:bookmarkStart w:id="42" w:name="_Toc153880796"/>
      <w:r>
        <w:t>Start date of the agreement</w:t>
      </w:r>
      <w:bookmarkEnd w:id="41"/>
      <w:bookmarkEnd w:id="42"/>
    </w:p>
    <w:p w14:paraId="005508B6" w14:textId="3AA61B32" w:rsidR="00B161E3" w:rsidRDefault="00D70988" w:rsidP="00B76878">
      <w:pPr>
        <w:widowControl w:val="0"/>
        <w:suppressAutoHyphens w:val="0"/>
        <w:spacing w:line="252" w:lineRule="auto"/>
        <w:jc w:val="left"/>
        <w:rPr>
          <w:i/>
          <w:iCs/>
        </w:rPr>
      </w:pPr>
      <w:r>
        <w:rPr>
          <w:i/>
          <w:iCs/>
        </w:rPr>
        <w:t>State the date of when the agreement will come into force.</w:t>
      </w:r>
      <w:bookmarkStart w:id="43" w:name="_heading=h.gjdgxs"/>
      <w:bookmarkEnd w:id="43"/>
    </w:p>
    <w:p w14:paraId="4731E1AF" w14:textId="77777777" w:rsidR="00B161E3" w:rsidRDefault="00B161E3" w:rsidP="00B76878">
      <w:pPr>
        <w:widowControl w:val="0"/>
        <w:suppressAutoHyphens w:val="0"/>
        <w:spacing w:line="252" w:lineRule="auto"/>
        <w:jc w:val="left"/>
      </w:pPr>
    </w:p>
    <w:p w14:paraId="4588CAE7" w14:textId="7F227809" w:rsidR="00BA42A8" w:rsidRDefault="00D70988" w:rsidP="00B76878">
      <w:pPr>
        <w:pStyle w:val="Heading3"/>
        <w:keepNext w:val="0"/>
        <w:widowControl w:val="0"/>
        <w:suppressAutoHyphens w:val="0"/>
      </w:pPr>
      <w:r>
        <w:t xml:space="preserve">This </w:t>
      </w:r>
      <w:r w:rsidR="00AA0BC2">
        <w:t>DSA</w:t>
      </w:r>
      <w:r>
        <w:t xml:space="preserve"> is due to take effect on [</w:t>
      </w:r>
      <w:r>
        <w:rPr>
          <w:i/>
          <w:shd w:val="clear" w:color="auto" w:fill="FFFF00"/>
        </w:rPr>
        <w:t>to be confirmed</w:t>
      </w:r>
      <w:r>
        <w:t>] 202</w:t>
      </w:r>
      <w:r w:rsidR="005D6969">
        <w:t>3</w:t>
      </w:r>
    </w:p>
    <w:p w14:paraId="2BDCE36D" w14:textId="2942EBC5" w:rsidR="00BA42A8" w:rsidRDefault="00D70988" w:rsidP="00B76878">
      <w:pPr>
        <w:pStyle w:val="Heading2"/>
        <w:keepNext w:val="0"/>
        <w:widowControl w:val="0"/>
        <w:suppressAutoHyphens w:val="0"/>
        <w:spacing w:line="252" w:lineRule="auto"/>
      </w:pPr>
      <w:bookmarkStart w:id="44" w:name="_Toc89094123"/>
      <w:bookmarkStart w:id="45" w:name="_Toc153880797"/>
      <w:r>
        <w:t>Review of the agreement</w:t>
      </w:r>
      <w:bookmarkEnd w:id="44"/>
      <w:bookmarkEnd w:id="45"/>
    </w:p>
    <w:p w14:paraId="540D8877" w14:textId="77777777" w:rsidR="00BA42A8" w:rsidRDefault="00D70988" w:rsidP="00B76878">
      <w:pPr>
        <w:widowControl w:val="0"/>
        <w:suppressAutoHyphens w:val="0"/>
        <w:spacing w:line="252" w:lineRule="auto"/>
        <w:jc w:val="left"/>
      </w:pPr>
      <w:r>
        <w:rPr>
          <w:i/>
          <w:iCs/>
        </w:rPr>
        <w:t>State if and when the agreement will be reviewed, and the role of the person who will conduct the</w:t>
      </w:r>
      <w:r>
        <w:t xml:space="preserve"> </w:t>
      </w:r>
      <w:r>
        <w:rPr>
          <w:i/>
          <w:iCs/>
        </w:rPr>
        <w:t>review.</w:t>
      </w:r>
    </w:p>
    <w:p w14:paraId="26391C17" w14:textId="77777777" w:rsidR="00BA42A8" w:rsidRDefault="00BA42A8" w:rsidP="00B76878">
      <w:pPr>
        <w:widowControl w:val="0"/>
        <w:suppressAutoHyphens w:val="0"/>
        <w:spacing w:line="252" w:lineRule="auto"/>
        <w:jc w:val="left"/>
        <w:rPr>
          <w:i/>
          <w:iCs/>
        </w:rPr>
      </w:pPr>
    </w:p>
    <w:p w14:paraId="77F7768B" w14:textId="6A95318B" w:rsidR="00BA42A8" w:rsidRDefault="00D70988" w:rsidP="00B76878">
      <w:pPr>
        <w:pStyle w:val="Heading3"/>
        <w:keepNext w:val="0"/>
        <w:widowControl w:val="0"/>
        <w:suppressAutoHyphens w:val="0"/>
      </w:pPr>
      <w:r>
        <w:t xml:space="preserve">The </w:t>
      </w:r>
      <w:r w:rsidR="00C44A0D">
        <w:t>lead controller</w:t>
      </w:r>
      <w:r>
        <w:t xml:space="preserve"> together with the Digital Office</w:t>
      </w:r>
      <w:r w:rsidR="00F40558">
        <w:t xml:space="preserve">, and more </w:t>
      </w:r>
      <w:r w:rsidR="00F40558" w:rsidRPr="000B17DB">
        <w:t>particularly</w:t>
      </w:r>
      <w:r w:rsidR="00F40558">
        <w:t xml:space="preserve"> </w:t>
      </w:r>
      <w:r w:rsidR="00F40558" w:rsidRPr="00A17DB2">
        <w:t>Jenny Spiers, Head of IG, GM Digital Office</w:t>
      </w:r>
      <w:r w:rsidR="00F40558">
        <w:t xml:space="preserve"> in consultation with the </w:t>
      </w:r>
      <w:r w:rsidR="0086765A">
        <w:t xml:space="preserve">GMCR </w:t>
      </w:r>
      <w:r w:rsidR="000A7ECC">
        <w:t xml:space="preserve">Oversight </w:t>
      </w:r>
      <w:r w:rsidR="0086765A">
        <w:t>Board</w:t>
      </w:r>
      <w:r w:rsidR="000B17DB">
        <w:t xml:space="preserve"> </w:t>
      </w:r>
      <w:r>
        <w:t xml:space="preserve">will ensure that this </w:t>
      </w:r>
      <w:r w:rsidR="002167BA">
        <w:t>DSA</w:t>
      </w:r>
      <w:r>
        <w:t xml:space="preserve"> remains complete and up to date.</w:t>
      </w:r>
    </w:p>
    <w:p w14:paraId="6B8BAAAE" w14:textId="77777777" w:rsidR="00BA42A8" w:rsidRDefault="00BA42A8" w:rsidP="00B76878">
      <w:pPr>
        <w:widowControl w:val="0"/>
        <w:suppressAutoHyphens w:val="0"/>
        <w:spacing w:line="252" w:lineRule="auto"/>
        <w:jc w:val="left"/>
      </w:pPr>
    </w:p>
    <w:p w14:paraId="681FBC89" w14:textId="159BE5A5" w:rsidR="00BA42A8" w:rsidRDefault="00D70988" w:rsidP="00B76878">
      <w:pPr>
        <w:pStyle w:val="Heading2"/>
        <w:keepNext w:val="0"/>
        <w:widowControl w:val="0"/>
        <w:suppressAutoHyphens w:val="0"/>
        <w:spacing w:line="252" w:lineRule="auto"/>
      </w:pPr>
      <w:bookmarkStart w:id="46" w:name="_Toc89094124"/>
      <w:bookmarkStart w:id="47" w:name="_Toc153880798"/>
      <w:r>
        <w:lastRenderedPageBreak/>
        <w:t>Review period</w:t>
      </w:r>
      <w:bookmarkEnd w:id="46"/>
      <w:bookmarkEnd w:id="47"/>
    </w:p>
    <w:p w14:paraId="0D4FF52B" w14:textId="114D70F5" w:rsidR="007C75A2" w:rsidRDefault="00D70988" w:rsidP="00B76878">
      <w:pPr>
        <w:widowControl w:val="0"/>
        <w:suppressAutoHyphens w:val="0"/>
        <w:spacing w:line="252" w:lineRule="auto"/>
        <w:jc w:val="left"/>
        <w:rPr>
          <w:i/>
          <w:iCs/>
        </w:rPr>
      </w:pPr>
      <w:r>
        <w:rPr>
          <w:i/>
          <w:iCs/>
        </w:rPr>
        <w:t>If applicable, state how long any review period will be.</w:t>
      </w:r>
    </w:p>
    <w:p w14:paraId="22267F8C" w14:textId="77777777" w:rsidR="000D182B" w:rsidRDefault="000D182B" w:rsidP="00B76878">
      <w:pPr>
        <w:widowControl w:val="0"/>
        <w:suppressAutoHyphens w:val="0"/>
        <w:spacing w:line="252" w:lineRule="auto"/>
        <w:jc w:val="left"/>
        <w:rPr>
          <w:i/>
          <w:iCs/>
        </w:rPr>
      </w:pPr>
    </w:p>
    <w:p w14:paraId="6029EB45" w14:textId="77E108F4" w:rsidR="00BA42A8" w:rsidRDefault="000D182B" w:rsidP="00B76878">
      <w:pPr>
        <w:pStyle w:val="Heading3"/>
        <w:keepNext w:val="0"/>
        <w:widowControl w:val="0"/>
        <w:suppressAutoHyphens w:val="0"/>
        <w:jc w:val="left"/>
      </w:pPr>
      <w:r>
        <w:t xml:space="preserve">This DSA will be reviewed after </w:t>
      </w:r>
      <w:r w:rsidRPr="00A17DB2">
        <w:t>12 months</w:t>
      </w:r>
      <w:r>
        <w:t xml:space="preserve"> and every 12 months thereafter unless otherwise agreed through governance</w:t>
      </w:r>
      <w:r w:rsidRPr="00A17DB2">
        <w:t>.</w:t>
      </w:r>
    </w:p>
    <w:p w14:paraId="5CEFA3F9" w14:textId="77777777" w:rsidR="00BA42A8" w:rsidRDefault="00BA42A8" w:rsidP="00B76878">
      <w:pPr>
        <w:pStyle w:val="BodyText"/>
        <w:widowControl w:val="0"/>
        <w:suppressAutoHyphens w:val="0"/>
        <w:spacing w:line="252" w:lineRule="auto"/>
        <w:jc w:val="left"/>
        <w:rPr>
          <w:b/>
          <w:bCs/>
        </w:rPr>
      </w:pPr>
    </w:p>
    <w:p w14:paraId="70727D2B" w14:textId="2599C787" w:rsidR="00BA42A8" w:rsidRDefault="00D70988" w:rsidP="00B76878">
      <w:pPr>
        <w:pStyle w:val="Heading2"/>
        <w:keepNext w:val="0"/>
        <w:widowControl w:val="0"/>
        <w:suppressAutoHyphens w:val="0"/>
        <w:spacing w:line="252" w:lineRule="auto"/>
      </w:pPr>
      <w:bookmarkStart w:id="48" w:name="_Toc89094125"/>
      <w:bookmarkStart w:id="49" w:name="_Toc153880799"/>
      <w:r>
        <w:t>Variation</w:t>
      </w:r>
      <w:bookmarkEnd w:id="48"/>
      <w:bookmarkEnd w:id="49"/>
    </w:p>
    <w:p w14:paraId="7338C22B" w14:textId="77777777" w:rsidR="00BA42A8" w:rsidRDefault="00D70988" w:rsidP="00B76878">
      <w:pPr>
        <w:widowControl w:val="0"/>
        <w:suppressAutoHyphens w:val="0"/>
        <w:spacing w:line="252" w:lineRule="auto"/>
        <w:jc w:val="left"/>
        <w:rPr>
          <w:i/>
          <w:iCs/>
        </w:rPr>
      </w:pPr>
      <w:r>
        <w:rPr>
          <w:i/>
          <w:iCs/>
        </w:rPr>
        <w:t>State here if the any party can vary the terms of this agreement. Describe how this will be done.</w:t>
      </w:r>
    </w:p>
    <w:p w14:paraId="637DED05" w14:textId="77777777" w:rsidR="00BA42A8" w:rsidRDefault="00BA42A8" w:rsidP="00B76878">
      <w:pPr>
        <w:widowControl w:val="0"/>
        <w:suppressAutoHyphens w:val="0"/>
        <w:spacing w:line="252" w:lineRule="auto"/>
        <w:jc w:val="left"/>
      </w:pPr>
    </w:p>
    <w:p w14:paraId="32BBD55B" w14:textId="0F93F3B2" w:rsidR="00030973" w:rsidRPr="00030973" w:rsidRDefault="00030973" w:rsidP="00B76878">
      <w:pPr>
        <w:pStyle w:val="Heading3"/>
        <w:keepNext w:val="0"/>
        <w:widowControl w:val="0"/>
        <w:suppressAutoHyphens w:val="0"/>
      </w:pPr>
      <w:r w:rsidRPr="00A17DB2">
        <w:t xml:space="preserve">Variation of the terms shall be raised at the GMCR Board and led by or on behalf of </w:t>
      </w:r>
      <w:r w:rsidRPr="00030973">
        <w:t xml:space="preserve">the lead controller. No variation of these terms shall take effect without the </w:t>
      </w:r>
      <w:r w:rsidR="00E66A83">
        <w:t>Authorities</w:t>
      </w:r>
      <w:r w:rsidRPr="00030973">
        <w:t xml:space="preserve">’ written consent. </w:t>
      </w:r>
    </w:p>
    <w:p w14:paraId="6AF4D534" w14:textId="394294F9" w:rsidR="00030973" w:rsidRPr="00A17DB2" w:rsidRDefault="00030973" w:rsidP="00B76878">
      <w:pPr>
        <w:pStyle w:val="Heading3"/>
        <w:keepNext w:val="0"/>
        <w:widowControl w:val="0"/>
        <w:suppressAutoHyphens w:val="0"/>
      </w:pPr>
      <w:r w:rsidRPr="00030973">
        <w:t xml:space="preserve">Each </w:t>
      </w:r>
      <w:r w:rsidR="00E66A83">
        <w:t>Authority</w:t>
      </w:r>
      <w:r w:rsidRPr="00030973">
        <w:t xml:space="preserve"> furth</w:t>
      </w:r>
      <w:r w:rsidRPr="00A17DB2">
        <w:t xml:space="preserve">er grants permission to the lead controller to add </w:t>
      </w:r>
      <w:r w:rsidR="00E20884">
        <w:t>Additional Authorities</w:t>
      </w:r>
      <w:r>
        <w:t xml:space="preserve"> </w:t>
      </w:r>
      <w:r w:rsidRPr="00A17DB2">
        <w:t xml:space="preserve">to this </w:t>
      </w:r>
      <w:r>
        <w:t>DSA</w:t>
      </w:r>
      <w:r w:rsidR="00D832B6">
        <w:t xml:space="preserve"> by entering into a Joining Addendum</w:t>
      </w:r>
      <w:r w:rsidR="00E66A83">
        <w:t xml:space="preserve"> on behalf of the </w:t>
      </w:r>
      <w:r w:rsidR="002D42B8">
        <w:t>Participants</w:t>
      </w:r>
      <w:r>
        <w:t xml:space="preserve"> </w:t>
      </w:r>
      <w:r w:rsidRPr="00A17DB2">
        <w:t xml:space="preserve">and update Appendix B </w:t>
      </w:r>
      <w:r w:rsidR="00D832B6">
        <w:t>accordingly</w:t>
      </w:r>
      <w:r w:rsidRPr="00A17DB2">
        <w:t xml:space="preserve"> following directions from appropriate governance.</w:t>
      </w:r>
    </w:p>
    <w:p w14:paraId="0DD41C02" w14:textId="77777777" w:rsidR="00BA42A8" w:rsidRDefault="00BA42A8" w:rsidP="00B76878">
      <w:pPr>
        <w:widowControl w:val="0"/>
        <w:suppressAutoHyphens w:val="0"/>
        <w:spacing w:line="252" w:lineRule="auto"/>
        <w:jc w:val="left"/>
      </w:pPr>
    </w:p>
    <w:p w14:paraId="1D4340CF" w14:textId="0632DD1B" w:rsidR="00BA42A8" w:rsidRDefault="00D70988" w:rsidP="00B76878">
      <w:pPr>
        <w:pStyle w:val="Heading2"/>
        <w:keepNext w:val="0"/>
        <w:widowControl w:val="0"/>
        <w:suppressAutoHyphens w:val="0"/>
        <w:spacing w:line="252" w:lineRule="auto"/>
      </w:pPr>
      <w:bookmarkStart w:id="50" w:name="_Toc89094126"/>
      <w:bookmarkStart w:id="51" w:name="_Toc153880800"/>
      <w:r>
        <w:t>Ending the agreement</w:t>
      </w:r>
      <w:bookmarkEnd w:id="50"/>
      <w:bookmarkEnd w:id="51"/>
    </w:p>
    <w:p w14:paraId="381A1500" w14:textId="28082FAE" w:rsidR="00BA42A8" w:rsidRDefault="00D70988" w:rsidP="00B76878">
      <w:pPr>
        <w:widowControl w:val="0"/>
        <w:suppressAutoHyphens w:val="0"/>
        <w:spacing w:line="252" w:lineRule="auto"/>
        <w:jc w:val="left"/>
        <w:rPr>
          <w:i/>
          <w:iCs/>
        </w:rPr>
      </w:pPr>
      <w:r>
        <w:rPr>
          <w:i/>
          <w:iCs/>
        </w:rPr>
        <w:t xml:space="preserve">State how a party can end their participation in the agreement, and how data will be managed by the exiting party. </w:t>
      </w:r>
    </w:p>
    <w:p w14:paraId="5D19E85F" w14:textId="77777777" w:rsidR="00111EC2" w:rsidRDefault="00111EC2" w:rsidP="00B76878">
      <w:pPr>
        <w:widowControl w:val="0"/>
        <w:suppressAutoHyphens w:val="0"/>
        <w:spacing w:line="252" w:lineRule="auto"/>
        <w:jc w:val="left"/>
        <w:rPr>
          <w:i/>
          <w:iCs/>
        </w:rPr>
      </w:pPr>
    </w:p>
    <w:p w14:paraId="56A0FE71" w14:textId="7F36B17C" w:rsidR="00203F36" w:rsidRDefault="004D155C" w:rsidP="00B76878">
      <w:pPr>
        <w:pStyle w:val="Heading3"/>
        <w:keepNext w:val="0"/>
        <w:widowControl w:val="0"/>
        <w:suppressAutoHyphens w:val="0"/>
      </w:pPr>
      <w:r w:rsidRPr="004D155C">
        <w:t xml:space="preserve">This </w:t>
      </w:r>
      <w:r w:rsidR="00E66A83">
        <w:t>DSA</w:t>
      </w:r>
      <w:r w:rsidRPr="004D155C">
        <w:t xml:space="preserve"> by its nature is there to remain for the duration of the GMCR Solution</w:t>
      </w:r>
      <w:r w:rsidR="00203F36">
        <w:t xml:space="preserve"> and the duration of the legal basis of the proposed use</w:t>
      </w:r>
      <w:r w:rsidR="00C72D43">
        <w:t xml:space="preserve"> as described in Appendices E and F and any additional Joining Forms</w:t>
      </w:r>
      <w:r w:rsidRPr="004D155C">
        <w:t xml:space="preserve">. </w:t>
      </w:r>
    </w:p>
    <w:p w14:paraId="07A080D8" w14:textId="77777777" w:rsidR="003F59A2" w:rsidRDefault="004D155C" w:rsidP="00B76878">
      <w:pPr>
        <w:pStyle w:val="Heading3"/>
        <w:keepNext w:val="0"/>
        <w:widowControl w:val="0"/>
        <w:suppressAutoHyphens w:val="0"/>
      </w:pPr>
      <w:r w:rsidRPr="004D155C">
        <w:t xml:space="preserve">If, however, after having joined the </w:t>
      </w:r>
      <w:r w:rsidRPr="00D63F9F">
        <w:t xml:space="preserve">GMCR, </w:t>
      </w:r>
    </w:p>
    <w:p w14:paraId="044A6714" w14:textId="40D2FB87" w:rsidR="003F59A2" w:rsidRPr="00231251" w:rsidRDefault="00794D5E" w:rsidP="00FD1CA4">
      <w:pPr>
        <w:pStyle w:val="Level4"/>
        <w:numPr>
          <w:ilvl w:val="0"/>
          <w:numId w:val="33"/>
        </w:numPr>
        <w:spacing w:line="252" w:lineRule="auto"/>
        <w:ind w:left="714" w:hanging="357"/>
      </w:pPr>
      <w:r w:rsidRPr="00231251">
        <w:t>t</w:t>
      </w:r>
      <w:r w:rsidR="003F59A2" w:rsidRPr="00231251">
        <w:t xml:space="preserve">he reason for </w:t>
      </w:r>
      <w:r w:rsidR="00006A43">
        <w:t xml:space="preserve">the Additional Authority to </w:t>
      </w:r>
      <w:r w:rsidR="003F59A2" w:rsidRPr="00231251">
        <w:t>access the data cease</w:t>
      </w:r>
      <w:r w:rsidR="004366B2">
        <w:t>s</w:t>
      </w:r>
      <w:r w:rsidR="003F59A2" w:rsidRPr="00231251">
        <w:t>, then the relevant Authority (ies) sh</w:t>
      </w:r>
      <w:r w:rsidR="00006A43">
        <w:t>all</w:t>
      </w:r>
      <w:r w:rsidR="003F59A2" w:rsidRPr="00231251">
        <w:t xml:space="preserve"> liaise with the lead controller to ensure that the </w:t>
      </w:r>
      <w:r w:rsidR="00006A43">
        <w:t xml:space="preserve">Additional Authority </w:t>
      </w:r>
      <w:r w:rsidR="009F0C20">
        <w:t>no longer</w:t>
      </w:r>
      <w:r w:rsidR="009F0C20" w:rsidRPr="009F0C20">
        <w:t xml:space="preserve"> </w:t>
      </w:r>
      <w:r w:rsidR="009F0C20">
        <w:t xml:space="preserve">has </w:t>
      </w:r>
      <w:r w:rsidR="009F0C20" w:rsidRPr="00231251">
        <w:t xml:space="preserve">access </w:t>
      </w:r>
      <w:r w:rsidR="009F0C20">
        <w:t>to the GMCR Solution</w:t>
      </w:r>
      <w:r w:rsidRPr="00231251">
        <w:t>; or</w:t>
      </w:r>
    </w:p>
    <w:p w14:paraId="5BA465A2" w14:textId="6D87A3B6" w:rsidR="00BA42A8" w:rsidRPr="00231251" w:rsidRDefault="004D155C" w:rsidP="00FD1CA4">
      <w:pPr>
        <w:pStyle w:val="Level4"/>
        <w:numPr>
          <w:ilvl w:val="0"/>
          <w:numId w:val="33"/>
        </w:numPr>
        <w:spacing w:line="252" w:lineRule="auto"/>
        <w:ind w:left="714" w:hanging="357"/>
      </w:pPr>
      <w:r w:rsidRPr="00231251">
        <w:t>a</w:t>
      </w:r>
      <w:r w:rsidR="00B21C86" w:rsidRPr="00231251">
        <w:t>n</w:t>
      </w:r>
      <w:r w:rsidRPr="00231251">
        <w:t xml:space="preserve"> </w:t>
      </w:r>
      <w:r w:rsidR="008473B7" w:rsidRPr="00231251">
        <w:t xml:space="preserve">Additional </w:t>
      </w:r>
      <w:r w:rsidR="00E66A83" w:rsidRPr="00231251">
        <w:t>Authority</w:t>
      </w:r>
      <w:r w:rsidRPr="00231251">
        <w:t xml:space="preserve"> wishes to withdraw from the use of the GMCR Solution, it may do so by contacting the lead controller and providing at least 30 days’ notice.  The lead controller will then ensure that</w:t>
      </w:r>
      <w:r w:rsidR="007267CA" w:rsidRPr="00231251">
        <w:t xml:space="preserve">, subject to all appropriate clinical safety reviews, </w:t>
      </w:r>
      <w:r w:rsidRPr="00231251">
        <w:t xml:space="preserve">all interfaces will be </w:t>
      </w:r>
      <w:r w:rsidR="007267CA" w:rsidRPr="00231251">
        <w:t>disabled, and</w:t>
      </w:r>
      <w:r w:rsidRPr="00231251">
        <w:t xml:space="preserve"> any rights of access are disabled and disable access.  However, please note that this will not affect the lawfulness of any processing carried out before expiry of the notice period. </w:t>
      </w:r>
    </w:p>
    <w:p w14:paraId="4CDBE060" w14:textId="4F1F44EC" w:rsidR="00BA42A8" w:rsidRPr="00D63F9F" w:rsidRDefault="00D70988" w:rsidP="00B76878">
      <w:pPr>
        <w:pStyle w:val="Heading2"/>
        <w:keepNext w:val="0"/>
        <w:widowControl w:val="0"/>
        <w:suppressAutoHyphens w:val="0"/>
        <w:spacing w:line="252" w:lineRule="auto"/>
      </w:pPr>
      <w:bookmarkStart w:id="52" w:name="_Toc89094127"/>
      <w:bookmarkStart w:id="53" w:name="_Toc153880801"/>
      <w:r w:rsidRPr="00D63F9F">
        <w:t>End date</w:t>
      </w:r>
      <w:bookmarkEnd w:id="52"/>
      <w:bookmarkEnd w:id="53"/>
    </w:p>
    <w:p w14:paraId="2A3BABA0" w14:textId="77777777" w:rsidR="00BA42A8" w:rsidRPr="00D63F9F" w:rsidRDefault="00D70988" w:rsidP="00B76878">
      <w:pPr>
        <w:widowControl w:val="0"/>
        <w:suppressAutoHyphens w:val="0"/>
        <w:spacing w:line="252" w:lineRule="auto"/>
        <w:jc w:val="left"/>
        <w:rPr>
          <w:i/>
          <w:iCs/>
        </w:rPr>
      </w:pPr>
      <w:r w:rsidRPr="00D63F9F">
        <w:rPr>
          <w:i/>
          <w:iCs/>
        </w:rPr>
        <w:t>State the date the agreement ends.</w:t>
      </w:r>
    </w:p>
    <w:p w14:paraId="4E33F06A" w14:textId="77777777" w:rsidR="00BA42A8" w:rsidRPr="00D63F9F" w:rsidRDefault="00BA42A8" w:rsidP="00B76878">
      <w:pPr>
        <w:widowControl w:val="0"/>
        <w:suppressAutoHyphens w:val="0"/>
        <w:spacing w:line="252" w:lineRule="auto"/>
        <w:jc w:val="left"/>
      </w:pPr>
    </w:p>
    <w:p w14:paraId="399B03CD" w14:textId="589DC0C8" w:rsidR="00BA42A8" w:rsidRDefault="006F1BB7" w:rsidP="00B76878">
      <w:pPr>
        <w:pStyle w:val="Heading3"/>
        <w:keepNext w:val="0"/>
        <w:widowControl w:val="0"/>
        <w:numPr>
          <w:ilvl w:val="0"/>
          <w:numId w:val="0"/>
        </w:numPr>
        <w:suppressAutoHyphens w:val="0"/>
        <w:ind w:left="998"/>
      </w:pPr>
      <w:r w:rsidRPr="00D63F9F">
        <w:t xml:space="preserve">This </w:t>
      </w:r>
      <w:r w:rsidR="00E66A83" w:rsidRPr="00D63F9F">
        <w:t>DSA</w:t>
      </w:r>
      <w:r w:rsidRPr="00D63F9F">
        <w:t xml:space="preserve"> will remain in place for the duration of the GMCR Solution.</w:t>
      </w:r>
      <w:r w:rsidR="00D70988">
        <w:t xml:space="preserve"> </w:t>
      </w:r>
    </w:p>
    <w:p w14:paraId="0AED9B87" w14:textId="7C02D749" w:rsidR="00BA42A8" w:rsidRDefault="00D70988" w:rsidP="00B76878">
      <w:pPr>
        <w:pStyle w:val="Heading2"/>
        <w:keepNext w:val="0"/>
        <w:widowControl w:val="0"/>
        <w:suppressAutoHyphens w:val="0"/>
        <w:spacing w:line="252" w:lineRule="auto"/>
      </w:pPr>
      <w:bookmarkStart w:id="54" w:name="_Toc89094128"/>
      <w:bookmarkStart w:id="55" w:name="_Toc153880802"/>
      <w:r>
        <w:t>Signatories</w:t>
      </w:r>
      <w:bookmarkEnd w:id="54"/>
      <w:bookmarkEnd w:id="55"/>
    </w:p>
    <w:p w14:paraId="6FF2273D" w14:textId="6E79E2AF" w:rsidR="00FC3FE4" w:rsidRPr="000F1ED3" w:rsidRDefault="00FC3FE4" w:rsidP="00B76878">
      <w:pPr>
        <w:pStyle w:val="Heading3"/>
        <w:keepNext w:val="0"/>
        <w:widowControl w:val="0"/>
        <w:suppressAutoHyphens w:val="0"/>
      </w:pPr>
      <w:r w:rsidRPr="00A17DB2">
        <w:lastRenderedPageBreak/>
        <w:t xml:space="preserve">Each </w:t>
      </w:r>
      <w:r w:rsidR="00E66A83">
        <w:t>Authority</w:t>
      </w:r>
      <w:r w:rsidRPr="00A17DB2">
        <w:t xml:space="preserve"> must sign where </w:t>
      </w:r>
      <w:r w:rsidRPr="000F1ED3">
        <w:t xml:space="preserve">indicated in Appendix A. together with confirming the name of their IG </w:t>
      </w:r>
      <w:r w:rsidR="00930B97" w:rsidRPr="000F1ED3">
        <w:t>Contact, Caldicott</w:t>
      </w:r>
      <w:r w:rsidRPr="000F1ED3">
        <w:t xml:space="preserve"> Guardian, SIRO Contact.</w:t>
      </w:r>
    </w:p>
    <w:p w14:paraId="37D8427A" w14:textId="5D80E287" w:rsidR="00FC3FE4" w:rsidRPr="000F1ED3" w:rsidRDefault="00FC3FE4" w:rsidP="00B76878">
      <w:pPr>
        <w:pStyle w:val="Heading3"/>
        <w:keepNext w:val="0"/>
        <w:widowControl w:val="0"/>
        <w:suppressAutoHyphens w:val="0"/>
      </w:pPr>
      <w:r w:rsidRPr="000F1ED3">
        <w:t xml:space="preserve">This </w:t>
      </w:r>
      <w:r w:rsidR="00E66A83" w:rsidRPr="000F1ED3">
        <w:t>DSA</w:t>
      </w:r>
      <w:r w:rsidRPr="000F1ED3">
        <w:t xml:space="preserve"> may be executed in any number of counterparts, each of which will be regarded as an original, but all of which together will constitute one agreement binding on the </w:t>
      </w:r>
      <w:r w:rsidR="00E66A83" w:rsidRPr="000F1ED3">
        <w:t>Authorities</w:t>
      </w:r>
      <w:r w:rsidRPr="000F1ED3">
        <w:t xml:space="preserve">, notwithstanding that the </w:t>
      </w:r>
      <w:r w:rsidR="00E66A83" w:rsidRPr="000F1ED3">
        <w:t>Authorities</w:t>
      </w:r>
      <w:r w:rsidRPr="000F1ED3">
        <w:t xml:space="preserve"> are not signatories to the same counterpart.</w:t>
      </w:r>
    </w:p>
    <w:p w14:paraId="01E282FA" w14:textId="77777777" w:rsidR="00002668" w:rsidRDefault="00002668" w:rsidP="00B76878">
      <w:pPr>
        <w:widowControl w:val="0"/>
        <w:suppressAutoHyphens w:val="0"/>
        <w:spacing w:line="252" w:lineRule="auto"/>
        <w:jc w:val="left"/>
      </w:pPr>
    </w:p>
    <w:p w14:paraId="008270CF" w14:textId="78056437" w:rsidR="00002668" w:rsidRDefault="00002668" w:rsidP="00B76878">
      <w:pPr>
        <w:widowControl w:val="0"/>
        <w:suppressAutoHyphens w:val="0"/>
        <w:spacing w:line="252" w:lineRule="auto"/>
        <w:jc w:val="left"/>
        <w:sectPr w:rsidR="00002668" w:rsidSect="00645850">
          <w:headerReference w:type="default" r:id="rId14"/>
          <w:pgSz w:w="11907" w:h="16840"/>
          <w:pgMar w:top="1440" w:right="1440" w:bottom="1440" w:left="1440" w:header="720" w:footer="720" w:gutter="0"/>
          <w:cols w:space="720"/>
          <w:docGrid w:linePitch="299"/>
        </w:sectPr>
      </w:pPr>
    </w:p>
    <w:p w14:paraId="272725C3" w14:textId="7F3E9AF6" w:rsidR="00C93EF4" w:rsidRPr="00A17DB2" w:rsidRDefault="00C93EF4" w:rsidP="00B76878">
      <w:pPr>
        <w:pStyle w:val="Heading1"/>
        <w:keepNext w:val="0"/>
        <w:widowControl w:val="0"/>
        <w:suppressAutoHyphens w:val="0"/>
      </w:pPr>
      <w:bookmarkStart w:id="56" w:name="_Toc93431403"/>
      <w:bookmarkStart w:id="57" w:name="_Toc153880803"/>
      <w:r w:rsidRPr="00A17DB2">
        <w:lastRenderedPageBreak/>
        <w:t xml:space="preserve">Appendix A – </w:t>
      </w:r>
      <w:r w:rsidR="00356211">
        <w:t>L</w:t>
      </w:r>
      <w:r w:rsidRPr="00A17DB2">
        <w:t xml:space="preserve">ist of </w:t>
      </w:r>
      <w:r>
        <w:t>P</w:t>
      </w:r>
      <w:r w:rsidR="001F06B6">
        <w:t xml:space="preserve">articipants </w:t>
      </w:r>
      <w:r w:rsidRPr="00A17DB2">
        <w:t xml:space="preserve">signing this </w:t>
      </w:r>
      <w:r w:rsidR="00EC423D">
        <w:t>DSA</w:t>
      </w:r>
      <w:r w:rsidRPr="00A17DB2">
        <w:t xml:space="preserve"> and IG and Caldicott Guardian contacts</w:t>
      </w:r>
      <w:bookmarkEnd w:id="56"/>
      <w:bookmarkEnd w:id="57"/>
    </w:p>
    <w:p w14:paraId="23E07705" w14:textId="77777777" w:rsidR="00C93EF4" w:rsidRPr="00A17DB2" w:rsidRDefault="00C93EF4" w:rsidP="00B76878">
      <w:pPr>
        <w:widowControl w:val="0"/>
        <w:suppressAutoHyphens w:val="0"/>
      </w:pPr>
    </w:p>
    <w:p w14:paraId="080AFD3B" w14:textId="77777777" w:rsidR="00713C33" w:rsidRPr="00A17DB2" w:rsidRDefault="00713C33" w:rsidP="00713C33">
      <w:pPr>
        <w:widowControl w:val="0"/>
        <w:suppressAutoHyphens w:val="0"/>
        <w:sectPr w:rsidR="00713C33" w:rsidRPr="00A17DB2" w:rsidSect="00713C33">
          <w:headerReference w:type="even" r:id="rId15"/>
          <w:headerReference w:type="default" r:id="rId16"/>
          <w:headerReference w:type="first" r:id="rId17"/>
          <w:pgSz w:w="16840" w:h="11907" w:orient="landscape"/>
          <w:pgMar w:top="1020" w:right="1361" w:bottom="1361" w:left="1361" w:header="720" w:footer="720" w:gutter="0"/>
          <w:cols w:space="720"/>
        </w:sectPr>
      </w:pPr>
      <w:r>
        <w:t xml:space="preserve">Table removed for signatory clarity. Participants are providers to the GM Care Record – Community Pharmacies are required to sign Appendix B. </w:t>
      </w:r>
    </w:p>
    <w:p w14:paraId="61511DAE" w14:textId="77777777" w:rsidR="00313A71" w:rsidRPr="00A17DB2" w:rsidRDefault="00313A71" w:rsidP="00313A71">
      <w:pPr>
        <w:pStyle w:val="Heading1"/>
        <w:keepNext w:val="0"/>
        <w:widowControl w:val="0"/>
        <w:suppressAutoHyphens w:val="0"/>
      </w:pPr>
      <w:r w:rsidRPr="00A17DB2">
        <w:lastRenderedPageBreak/>
        <w:t xml:space="preserve">Appendix </w:t>
      </w:r>
      <w:r>
        <w:t>B</w:t>
      </w:r>
      <w:r w:rsidRPr="00A17DB2">
        <w:t xml:space="preserve"> – </w:t>
      </w:r>
      <w:r>
        <w:t>L</w:t>
      </w:r>
      <w:r w:rsidRPr="00A17DB2">
        <w:t xml:space="preserve">ist of </w:t>
      </w:r>
      <w:r>
        <w:t xml:space="preserve">Additional Users </w:t>
      </w:r>
      <w:r w:rsidRPr="00A17DB2">
        <w:t xml:space="preserve">signing this </w:t>
      </w:r>
      <w:r>
        <w:t>DSA</w:t>
      </w:r>
      <w:r w:rsidRPr="00A17DB2">
        <w:t xml:space="preserve"> and IG and Caldicott Guardian contacts</w:t>
      </w:r>
    </w:p>
    <w:p w14:paraId="7FEC96F1" w14:textId="77777777" w:rsidR="00313A71" w:rsidRPr="00A17DB2" w:rsidRDefault="00313A71" w:rsidP="00313A71">
      <w:pPr>
        <w:widowControl w:val="0"/>
        <w:suppressAutoHyphens w:val="0"/>
      </w:pPr>
    </w:p>
    <w:tbl>
      <w:tblPr>
        <w:tblW w:w="15452" w:type="dxa"/>
        <w:tblInd w:w="-743" w:type="dxa"/>
        <w:tblCellMar>
          <w:left w:w="10" w:type="dxa"/>
          <w:right w:w="10" w:type="dxa"/>
        </w:tblCellMar>
        <w:tblLook w:val="04A0" w:firstRow="1" w:lastRow="0" w:firstColumn="1" w:lastColumn="0" w:noHBand="0" w:noVBand="1"/>
      </w:tblPr>
      <w:tblGrid>
        <w:gridCol w:w="2495"/>
        <w:gridCol w:w="3803"/>
        <w:gridCol w:w="2208"/>
        <w:gridCol w:w="1453"/>
        <w:gridCol w:w="2157"/>
        <w:gridCol w:w="3336"/>
      </w:tblGrid>
      <w:tr w:rsidR="00313A71" w:rsidRPr="00A17DB2" w14:paraId="6C8BB941" w14:textId="77777777" w:rsidTr="00886704">
        <w:trPr>
          <w:tblHeader/>
        </w:trPr>
        <w:tc>
          <w:tcPr>
            <w:tcW w:w="249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267899F" w14:textId="77777777" w:rsidR="00313A71" w:rsidRPr="00A17DB2" w:rsidRDefault="00313A71" w:rsidP="00886704">
            <w:pPr>
              <w:widowControl w:val="0"/>
              <w:suppressAutoHyphens w:val="0"/>
            </w:pPr>
            <w:r w:rsidRPr="00A17DB2">
              <w:t>Name of organisation</w:t>
            </w:r>
          </w:p>
        </w:tc>
        <w:tc>
          <w:tcPr>
            <w:tcW w:w="3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9176C28" w14:textId="77777777" w:rsidR="00313A71" w:rsidRPr="00A17DB2" w:rsidRDefault="00313A71" w:rsidP="00886704">
            <w:pPr>
              <w:widowControl w:val="0"/>
              <w:suppressAutoHyphens w:val="0"/>
            </w:pPr>
            <w:r w:rsidRPr="00A17DB2">
              <w:t>IG contact</w:t>
            </w:r>
          </w:p>
        </w:tc>
        <w:tc>
          <w:tcPr>
            <w:tcW w:w="220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 w:type="dxa"/>
              <w:bottom w:w="0" w:type="dxa"/>
              <w:right w:w="10" w:type="dxa"/>
            </w:tcMar>
          </w:tcPr>
          <w:p w14:paraId="229D1ABE" w14:textId="77777777" w:rsidR="00313A71" w:rsidRPr="00A17DB2" w:rsidRDefault="00313A71" w:rsidP="00886704">
            <w:pPr>
              <w:widowControl w:val="0"/>
              <w:suppressAutoHyphens w:val="0"/>
              <w:jc w:val="left"/>
            </w:pPr>
            <w:r w:rsidRPr="00A17DB2">
              <w:t>Caldicott Guardian contacts</w:t>
            </w:r>
          </w:p>
        </w:tc>
        <w:tc>
          <w:tcPr>
            <w:tcW w:w="1453" w:type="dxa"/>
            <w:tcBorders>
              <w:top w:val="single" w:sz="4" w:space="0" w:color="000000"/>
              <w:left w:val="single" w:sz="4" w:space="0" w:color="000000"/>
              <w:bottom w:val="single" w:sz="4" w:space="0" w:color="000000"/>
              <w:right w:val="single" w:sz="4" w:space="0" w:color="000000"/>
            </w:tcBorders>
            <w:shd w:val="clear" w:color="auto" w:fill="9CC2E5"/>
          </w:tcPr>
          <w:p w14:paraId="0017A732" w14:textId="77777777" w:rsidR="00313A71" w:rsidRPr="00A17DB2" w:rsidRDefault="00313A71" w:rsidP="00886704">
            <w:pPr>
              <w:widowControl w:val="0"/>
              <w:suppressAutoHyphens w:val="0"/>
            </w:pPr>
            <w:r w:rsidRPr="00A17DB2">
              <w:t>SIRO Contact</w:t>
            </w:r>
          </w:p>
        </w:tc>
        <w:tc>
          <w:tcPr>
            <w:tcW w:w="215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 w:type="dxa"/>
              <w:bottom w:w="0" w:type="dxa"/>
              <w:right w:w="10" w:type="dxa"/>
            </w:tcMar>
          </w:tcPr>
          <w:p w14:paraId="2675D72C" w14:textId="77777777" w:rsidR="00313A71" w:rsidRPr="00A17DB2" w:rsidRDefault="00313A71" w:rsidP="00886704">
            <w:pPr>
              <w:widowControl w:val="0"/>
              <w:suppressAutoHyphens w:val="0"/>
            </w:pPr>
            <w:r w:rsidRPr="00A17DB2">
              <w:t>Name and position of the signatory</w:t>
            </w:r>
          </w:p>
        </w:tc>
        <w:tc>
          <w:tcPr>
            <w:tcW w:w="3336"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1CC7AB2" w14:textId="77777777" w:rsidR="00313A71" w:rsidRPr="00A17DB2" w:rsidRDefault="00313A71" w:rsidP="00886704">
            <w:pPr>
              <w:widowControl w:val="0"/>
              <w:suppressAutoHyphens w:val="0"/>
            </w:pPr>
            <w:r w:rsidRPr="00A17DB2">
              <w:t>Signature</w:t>
            </w:r>
          </w:p>
        </w:tc>
      </w:tr>
      <w:tr w:rsidR="00313A71" w:rsidRPr="00A17DB2" w14:paraId="00463E58" w14:textId="77777777" w:rsidTr="00886704">
        <w:tc>
          <w:tcPr>
            <w:tcW w:w="2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EF477" w14:textId="77777777" w:rsidR="00313A71" w:rsidRPr="00A17DB2" w:rsidRDefault="00313A71" w:rsidP="00886704">
            <w:pPr>
              <w:pStyle w:val="ListParagraph"/>
              <w:widowControl w:val="0"/>
              <w:numPr>
                <w:ilvl w:val="0"/>
                <w:numId w:val="26"/>
              </w:numPr>
              <w:suppressAutoHyphens w:val="0"/>
              <w:spacing w:after="120"/>
            </w:pP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54AD4" w14:textId="77777777" w:rsidR="00313A71" w:rsidRPr="00A17DB2" w:rsidRDefault="00313A71" w:rsidP="00886704">
            <w:pPr>
              <w:widowControl w:val="0"/>
              <w:suppressAutoHyphens w:val="0"/>
            </w:pP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147970" w14:textId="77777777" w:rsidR="00313A71" w:rsidRPr="006F5889" w:rsidRDefault="00313A71" w:rsidP="00886704">
            <w:pPr>
              <w:widowControl w:val="0"/>
              <w:suppressAutoHyphens w:val="0"/>
              <w:rPr>
                <w:b/>
                <w:bCs/>
              </w:rPr>
            </w:pPr>
            <w:r w:rsidRPr="006F5889">
              <w:rPr>
                <w:b/>
                <w:bCs/>
              </w:rPr>
              <w:t>If Relevant</w:t>
            </w:r>
          </w:p>
        </w:tc>
        <w:tc>
          <w:tcPr>
            <w:tcW w:w="1453" w:type="dxa"/>
            <w:tcBorders>
              <w:top w:val="single" w:sz="4" w:space="0" w:color="000000"/>
              <w:left w:val="single" w:sz="4" w:space="0" w:color="000000"/>
              <w:bottom w:val="single" w:sz="4" w:space="0" w:color="000000"/>
              <w:right w:val="single" w:sz="4" w:space="0" w:color="000000"/>
            </w:tcBorders>
          </w:tcPr>
          <w:p w14:paraId="0D839009" w14:textId="77777777" w:rsidR="00313A71" w:rsidRPr="006F5889" w:rsidRDefault="00313A71" w:rsidP="00886704">
            <w:pPr>
              <w:widowControl w:val="0"/>
              <w:suppressAutoHyphens w:val="0"/>
              <w:rPr>
                <w:b/>
                <w:bCs/>
              </w:rPr>
            </w:pPr>
            <w:r w:rsidRPr="006F5889">
              <w:rPr>
                <w:b/>
                <w:bCs/>
              </w:rPr>
              <w:t>If Relevant</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3974A7" w14:textId="77777777" w:rsidR="00313A71" w:rsidRPr="00A17DB2" w:rsidRDefault="00313A71" w:rsidP="00886704">
            <w:pPr>
              <w:widowControl w:val="0"/>
              <w:suppressAutoHyphens w:val="0"/>
            </w:pP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CD3CE" w14:textId="77777777" w:rsidR="00313A71" w:rsidRPr="00A17DB2" w:rsidRDefault="00313A71" w:rsidP="00886704">
            <w:pPr>
              <w:widowControl w:val="0"/>
              <w:suppressAutoHyphens w:val="0"/>
            </w:pPr>
          </w:p>
          <w:p w14:paraId="569654F6" w14:textId="77777777" w:rsidR="00313A71" w:rsidRPr="00A17DB2" w:rsidRDefault="00313A71" w:rsidP="00886704">
            <w:pPr>
              <w:widowControl w:val="0"/>
              <w:suppressAutoHyphens w:val="0"/>
            </w:pPr>
            <w:r w:rsidRPr="00A17DB2">
              <w:t>_________________</w:t>
            </w:r>
          </w:p>
          <w:p w14:paraId="60463403" w14:textId="77777777" w:rsidR="00313A71" w:rsidRPr="00A17DB2" w:rsidRDefault="00313A71" w:rsidP="00886704">
            <w:pPr>
              <w:widowControl w:val="0"/>
              <w:suppressAutoHyphens w:val="0"/>
            </w:pPr>
            <w:r w:rsidRPr="00A17DB2">
              <w:t>Date:</w:t>
            </w:r>
          </w:p>
        </w:tc>
      </w:tr>
      <w:tr w:rsidR="00313A71" w:rsidRPr="00A17DB2" w14:paraId="37AD4E61" w14:textId="77777777" w:rsidTr="00886704">
        <w:tc>
          <w:tcPr>
            <w:tcW w:w="2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74FC" w14:textId="77777777" w:rsidR="00313A71" w:rsidRPr="00A17DB2" w:rsidRDefault="00313A71" w:rsidP="00886704">
            <w:pPr>
              <w:pStyle w:val="ListParagraph"/>
              <w:widowControl w:val="0"/>
              <w:numPr>
                <w:ilvl w:val="0"/>
                <w:numId w:val="26"/>
              </w:numPr>
              <w:suppressAutoHyphens w:val="0"/>
              <w:spacing w:after="120"/>
            </w:pP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EB82C" w14:textId="77777777" w:rsidR="00313A71" w:rsidRPr="00A17DB2" w:rsidRDefault="00313A71" w:rsidP="00886704">
            <w:pPr>
              <w:widowControl w:val="0"/>
              <w:suppressAutoHyphens w:val="0"/>
            </w:pP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4C42ED" w14:textId="77777777" w:rsidR="00313A71" w:rsidRPr="00A17DB2" w:rsidRDefault="00313A71" w:rsidP="00886704">
            <w:pPr>
              <w:widowControl w:val="0"/>
              <w:suppressAutoHyphens w:val="0"/>
            </w:pPr>
          </w:p>
        </w:tc>
        <w:tc>
          <w:tcPr>
            <w:tcW w:w="1453" w:type="dxa"/>
            <w:tcBorders>
              <w:top w:val="single" w:sz="4" w:space="0" w:color="000000"/>
              <w:left w:val="single" w:sz="4" w:space="0" w:color="000000"/>
              <w:bottom w:val="single" w:sz="4" w:space="0" w:color="000000"/>
              <w:right w:val="single" w:sz="4" w:space="0" w:color="000000"/>
            </w:tcBorders>
          </w:tcPr>
          <w:p w14:paraId="20B08139" w14:textId="77777777" w:rsidR="00313A71" w:rsidRPr="00A17DB2" w:rsidRDefault="00313A71" w:rsidP="00886704">
            <w:pPr>
              <w:widowControl w:val="0"/>
              <w:suppressAutoHyphens w:val="0"/>
            </w:pP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5A3CC1" w14:textId="77777777" w:rsidR="00313A71" w:rsidRPr="00A17DB2" w:rsidRDefault="00313A71" w:rsidP="00886704">
            <w:pPr>
              <w:widowControl w:val="0"/>
              <w:suppressAutoHyphens w:val="0"/>
            </w:pP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71CF" w14:textId="77777777" w:rsidR="00313A71" w:rsidRPr="00A17DB2" w:rsidRDefault="00313A71" w:rsidP="00886704">
            <w:pPr>
              <w:widowControl w:val="0"/>
              <w:suppressAutoHyphens w:val="0"/>
            </w:pPr>
          </w:p>
          <w:p w14:paraId="6EEFE6CA" w14:textId="77777777" w:rsidR="00313A71" w:rsidRPr="00A17DB2" w:rsidRDefault="00313A71" w:rsidP="00886704">
            <w:pPr>
              <w:widowControl w:val="0"/>
              <w:suppressAutoHyphens w:val="0"/>
            </w:pPr>
            <w:r w:rsidRPr="00A17DB2">
              <w:t>_________________</w:t>
            </w:r>
          </w:p>
          <w:p w14:paraId="0475D65D" w14:textId="77777777" w:rsidR="00313A71" w:rsidRPr="00A17DB2" w:rsidRDefault="00313A71" w:rsidP="00886704">
            <w:pPr>
              <w:widowControl w:val="0"/>
              <w:suppressAutoHyphens w:val="0"/>
            </w:pPr>
            <w:r w:rsidRPr="00A17DB2">
              <w:t>Date:</w:t>
            </w:r>
          </w:p>
        </w:tc>
      </w:tr>
      <w:tr w:rsidR="00313A71" w:rsidRPr="00A17DB2" w14:paraId="14EB29F6" w14:textId="77777777" w:rsidTr="00886704">
        <w:tc>
          <w:tcPr>
            <w:tcW w:w="2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4B99B" w14:textId="77777777" w:rsidR="00313A71" w:rsidRPr="00A17DB2" w:rsidRDefault="00313A71" w:rsidP="00886704">
            <w:pPr>
              <w:pStyle w:val="ListParagraph"/>
              <w:widowControl w:val="0"/>
              <w:numPr>
                <w:ilvl w:val="0"/>
                <w:numId w:val="26"/>
              </w:numPr>
              <w:suppressAutoHyphens w:val="0"/>
              <w:spacing w:after="120"/>
            </w:pP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2508" w14:textId="77777777" w:rsidR="00313A71" w:rsidRPr="00A17DB2" w:rsidRDefault="00313A71" w:rsidP="00886704">
            <w:pPr>
              <w:widowControl w:val="0"/>
              <w:suppressAutoHyphens w:val="0"/>
            </w:pP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A686CF" w14:textId="77777777" w:rsidR="00313A71" w:rsidRPr="00A17DB2" w:rsidRDefault="00313A71" w:rsidP="00886704">
            <w:pPr>
              <w:widowControl w:val="0"/>
              <w:suppressAutoHyphens w:val="0"/>
            </w:pPr>
          </w:p>
        </w:tc>
        <w:tc>
          <w:tcPr>
            <w:tcW w:w="1453" w:type="dxa"/>
            <w:tcBorders>
              <w:top w:val="single" w:sz="4" w:space="0" w:color="000000"/>
              <w:left w:val="single" w:sz="4" w:space="0" w:color="000000"/>
              <w:bottom w:val="single" w:sz="4" w:space="0" w:color="000000"/>
              <w:right w:val="single" w:sz="4" w:space="0" w:color="000000"/>
            </w:tcBorders>
          </w:tcPr>
          <w:p w14:paraId="628EAA69" w14:textId="77777777" w:rsidR="00313A71" w:rsidRPr="00A17DB2" w:rsidRDefault="00313A71" w:rsidP="00886704">
            <w:pPr>
              <w:widowControl w:val="0"/>
              <w:suppressAutoHyphens w:val="0"/>
            </w:pP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2C57B0" w14:textId="77777777" w:rsidR="00313A71" w:rsidRPr="00A17DB2" w:rsidRDefault="00313A71" w:rsidP="00886704">
            <w:pPr>
              <w:widowControl w:val="0"/>
              <w:suppressAutoHyphens w:val="0"/>
            </w:pP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B0BD" w14:textId="77777777" w:rsidR="00313A71" w:rsidRPr="00A17DB2" w:rsidRDefault="00313A71" w:rsidP="00886704">
            <w:pPr>
              <w:widowControl w:val="0"/>
              <w:suppressAutoHyphens w:val="0"/>
            </w:pPr>
          </w:p>
          <w:p w14:paraId="5385062B" w14:textId="77777777" w:rsidR="00313A71" w:rsidRPr="00A17DB2" w:rsidRDefault="00313A71" w:rsidP="00886704">
            <w:pPr>
              <w:widowControl w:val="0"/>
              <w:suppressAutoHyphens w:val="0"/>
            </w:pPr>
            <w:r w:rsidRPr="00A17DB2">
              <w:t>_________________</w:t>
            </w:r>
          </w:p>
          <w:p w14:paraId="314A92B6" w14:textId="77777777" w:rsidR="00313A71" w:rsidRPr="00A17DB2" w:rsidRDefault="00313A71" w:rsidP="00886704">
            <w:pPr>
              <w:widowControl w:val="0"/>
              <w:suppressAutoHyphens w:val="0"/>
            </w:pPr>
            <w:r w:rsidRPr="00A17DB2">
              <w:t>Date: ________________</w:t>
            </w:r>
          </w:p>
        </w:tc>
      </w:tr>
    </w:tbl>
    <w:p w14:paraId="60E1D9F3" w14:textId="77777777" w:rsidR="00C93EF4" w:rsidRPr="00A17DB2" w:rsidRDefault="00C93EF4" w:rsidP="00B76878">
      <w:pPr>
        <w:widowControl w:val="0"/>
        <w:suppressAutoHyphens w:val="0"/>
        <w:sectPr w:rsidR="00C93EF4" w:rsidRPr="00A17DB2" w:rsidSect="005577F0">
          <w:headerReference w:type="even" r:id="rId18"/>
          <w:headerReference w:type="default" r:id="rId19"/>
          <w:headerReference w:type="first" r:id="rId20"/>
          <w:pgSz w:w="16840" w:h="11907" w:orient="landscape"/>
          <w:pgMar w:top="1020" w:right="1361" w:bottom="1361" w:left="1361" w:header="720" w:footer="720" w:gutter="0"/>
          <w:cols w:space="720"/>
        </w:sectPr>
      </w:pPr>
    </w:p>
    <w:p w14:paraId="35E26EA1" w14:textId="77777777" w:rsidR="00950E97" w:rsidRPr="00950E97" w:rsidRDefault="00943CA3" w:rsidP="00950E97">
      <w:pPr>
        <w:pStyle w:val="Heading1"/>
      </w:pPr>
      <w:bookmarkStart w:id="58" w:name="_Toc93431405"/>
      <w:bookmarkStart w:id="59" w:name="_Toc153880805"/>
      <w:r w:rsidRPr="00950E97">
        <w:lastRenderedPageBreak/>
        <w:t>Appendix C - Rules of Engagement relating to the GM Care Record</w:t>
      </w:r>
      <w:bookmarkStart w:id="60" w:name="_Toc89094129"/>
      <w:bookmarkEnd w:id="58"/>
      <w:bookmarkEnd w:id="59"/>
    </w:p>
    <w:p w14:paraId="2A6358B4" w14:textId="77777777" w:rsidR="00950E97" w:rsidRDefault="00950E97" w:rsidP="00950E97">
      <w:pPr>
        <w:rPr>
          <w:b/>
          <w:bCs/>
          <w:caps/>
          <w:szCs w:val="32"/>
        </w:rPr>
      </w:pPr>
    </w:p>
    <w:p w14:paraId="5A190157" w14:textId="3D48BC0F" w:rsidR="00950E97" w:rsidRPr="00950E97" w:rsidRDefault="00950E97" w:rsidP="00950E97">
      <w:r w:rsidRPr="00950E97">
        <w:t xml:space="preserve">This document describes the responsibilities (as applicable to each role) of the Participants in the GM Care Record (GMCR) Solution. It is an appendix to the Joint Controller Agreement between all the Participants by sharing and accessing data on the GMCR Solution. Its acceptance is a condition to the use of the GMCR Solution. </w:t>
      </w:r>
    </w:p>
    <w:p w14:paraId="0C553DD3" w14:textId="77777777" w:rsidR="00950E97" w:rsidRPr="00BE5C57" w:rsidRDefault="00950E97" w:rsidP="00950E97">
      <w:pPr>
        <w:pStyle w:val="ListParagraph"/>
        <w:numPr>
          <w:ilvl w:val="0"/>
          <w:numId w:val="27"/>
        </w:numPr>
        <w:spacing w:before="240" w:after="120"/>
        <w:ind w:left="357" w:hanging="357"/>
        <w:rPr>
          <w:b/>
          <w:bCs/>
        </w:rPr>
      </w:pPr>
      <w:r w:rsidRPr="00BE5C57">
        <w:rPr>
          <w:b/>
          <w:bCs/>
        </w:rPr>
        <w:t>Definitions</w:t>
      </w:r>
    </w:p>
    <w:p w14:paraId="3D318B9D" w14:textId="77777777" w:rsidR="00950E97" w:rsidRPr="00A17DB2" w:rsidRDefault="00950E97" w:rsidP="00950E97">
      <w:pPr>
        <w:pStyle w:val="ListParagraph"/>
        <w:numPr>
          <w:ilvl w:val="1"/>
          <w:numId w:val="27"/>
        </w:numPr>
        <w:spacing w:after="120"/>
      </w:pPr>
      <w:r>
        <w:t>See the Glossary in Appendix D to the JCA</w:t>
      </w:r>
      <w:r w:rsidRPr="00A17DB2">
        <w:t>.</w:t>
      </w:r>
    </w:p>
    <w:p w14:paraId="30C5D636" w14:textId="77777777" w:rsidR="00950E97" w:rsidRPr="00BE5C57" w:rsidRDefault="00950E97" w:rsidP="00950E97">
      <w:pPr>
        <w:pStyle w:val="ListParagraph"/>
        <w:numPr>
          <w:ilvl w:val="0"/>
          <w:numId w:val="27"/>
        </w:numPr>
        <w:spacing w:before="240" w:after="120"/>
        <w:ind w:left="357" w:hanging="357"/>
        <w:rPr>
          <w:b/>
          <w:bCs/>
        </w:rPr>
      </w:pPr>
      <w:r w:rsidRPr="00BE5C57">
        <w:rPr>
          <w:b/>
          <w:bCs/>
        </w:rPr>
        <w:t xml:space="preserve">Data Quality and Input </w:t>
      </w:r>
    </w:p>
    <w:p w14:paraId="30B796BB" w14:textId="77777777" w:rsidR="00950E97" w:rsidRPr="00A17DB2" w:rsidRDefault="00950E97" w:rsidP="00950E97">
      <w:pPr>
        <w:pStyle w:val="Subtitle"/>
      </w:pPr>
      <w:r w:rsidRPr="00A17DB2">
        <w:t xml:space="preserve">Quality of care is at the very heart of all we do in our roles as health and care providers and commissioners of the same and data quality is inextricably linked to that. This is why all </w:t>
      </w:r>
      <w:r>
        <w:t>Participant</w:t>
      </w:r>
      <w:r w:rsidRPr="00A17DB2">
        <w:t>s are required to accept the following responsibilities.</w:t>
      </w:r>
    </w:p>
    <w:p w14:paraId="0E1E57DB" w14:textId="77777777" w:rsidR="00950E97" w:rsidRDefault="00950E97" w:rsidP="00950E97">
      <w:pPr>
        <w:pStyle w:val="ListParagraph"/>
        <w:numPr>
          <w:ilvl w:val="1"/>
          <w:numId w:val="27"/>
        </w:numPr>
        <w:spacing w:after="120"/>
      </w:pPr>
      <w:r w:rsidRPr="00A17DB2">
        <w:t xml:space="preserve">Each </w:t>
      </w:r>
      <w:r>
        <w:t>Participant</w:t>
      </w:r>
      <w:r w:rsidRPr="00A17DB2">
        <w:t xml:space="preserve"> needs to use all reasonable endeavours to ensure the reliability of their data sources and must apply all reasonable checks and controls to be satisfied that the data it feeds in to the GMCR Solution is complete</w:t>
      </w:r>
      <w:r>
        <w:t>, accurate</w:t>
      </w:r>
      <w:r w:rsidRPr="00A17DB2">
        <w:t xml:space="preserve"> and of the necessary quality. </w:t>
      </w:r>
    </w:p>
    <w:p w14:paraId="3D1D30D2" w14:textId="77777777" w:rsidR="00950E97" w:rsidRDefault="00950E97" w:rsidP="00950E97">
      <w:pPr>
        <w:pStyle w:val="ListParagraph"/>
        <w:numPr>
          <w:ilvl w:val="1"/>
          <w:numId w:val="27"/>
        </w:numPr>
        <w:spacing w:after="120"/>
      </w:pPr>
      <w:r w:rsidRPr="00A17DB2">
        <w:t xml:space="preserve">Each </w:t>
      </w:r>
      <w:r>
        <w:t>Participant</w:t>
      </w:r>
      <w:r w:rsidRPr="00A17DB2">
        <w:t xml:space="preserve"> must take all such steps to ensure that it does not do or fail to do anything that does or could result in the data extract failing to match what is in their source record. </w:t>
      </w:r>
    </w:p>
    <w:p w14:paraId="23E6ADF9" w14:textId="77777777" w:rsidR="00950E97" w:rsidRPr="00E322CF" w:rsidRDefault="00950E97" w:rsidP="00950E97">
      <w:pPr>
        <w:pStyle w:val="ListParagraph"/>
        <w:numPr>
          <w:ilvl w:val="1"/>
          <w:numId w:val="27"/>
        </w:numPr>
        <w:spacing w:after="120"/>
      </w:pPr>
      <w:r w:rsidRPr="00A17DB2">
        <w:t xml:space="preserve">Any quality issues </w:t>
      </w:r>
      <w:r>
        <w:t xml:space="preserve">requiring action from the lead controller and/or another Participant </w:t>
      </w:r>
      <w:r w:rsidRPr="00A17DB2">
        <w:t xml:space="preserve">of which it becomes aware (regardless of cause or fault) must be reported to the lead controller as soon as possible (and </w:t>
      </w:r>
      <w:r>
        <w:t>preferably</w:t>
      </w:r>
      <w:r w:rsidRPr="00A17DB2">
        <w:t xml:space="preserve"> within two (2) business days</w:t>
      </w:r>
      <w:r>
        <w:t>)</w:t>
      </w:r>
      <w:r w:rsidRPr="00A17DB2">
        <w:t xml:space="preserve"> </w:t>
      </w:r>
      <w:r w:rsidRPr="00BB0FB7">
        <w:rPr>
          <w:rStyle w:val="Heading2Char"/>
          <w:b w:val="0"/>
          <w:bCs/>
        </w:rPr>
        <w:t xml:space="preserve">so that the lead controller can take this up with the relevant </w:t>
      </w:r>
      <w:r>
        <w:rPr>
          <w:rStyle w:val="Heading2Char"/>
          <w:b w:val="0"/>
          <w:bCs/>
        </w:rPr>
        <w:t>Participant(s)</w:t>
      </w:r>
      <w:r w:rsidRPr="00BB0FB7">
        <w:rPr>
          <w:rStyle w:val="Heading2Char"/>
          <w:b w:val="0"/>
          <w:bCs/>
        </w:rPr>
        <w:t xml:space="preserve"> and get it remedied</w:t>
      </w:r>
      <w:r w:rsidRPr="00A17DB2">
        <w:t xml:space="preserve">. This includes data </w:t>
      </w:r>
      <w:r w:rsidRPr="00E322CF">
        <w:t xml:space="preserve">that should have been removed from the GMCR Solution but which is still held in the GMCR Solution. </w:t>
      </w:r>
    </w:p>
    <w:p w14:paraId="63AD0072" w14:textId="77777777" w:rsidR="00950E97" w:rsidRPr="00592B11" w:rsidRDefault="00950E97" w:rsidP="00950E97">
      <w:pPr>
        <w:pStyle w:val="ListParagraph"/>
        <w:numPr>
          <w:ilvl w:val="1"/>
          <w:numId w:val="27"/>
        </w:numPr>
        <w:spacing w:after="120"/>
      </w:pPr>
      <w:r w:rsidRPr="00592B11">
        <w:t>Each Participant must apply the accurate codes against relevant entries to ensure that that data that cannot be lawfully shared is not inadvertently transferred into the GMCR Solution.</w:t>
      </w:r>
    </w:p>
    <w:p w14:paraId="7EF71131" w14:textId="77777777" w:rsidR="00950E97" w:rsidRPr="00E322CF" w:rsidRDefault="00950E97" w:rsidP="00950E97">
      <w:pPr>
        <w:pStyle w:val="ListParagraph"/>
        <w:numPr>
          <w:ilvl w:val="1"/>
          <w:numId w:val="27"/>
        </w:numPr>
        <w:spacing w:after="120"/>
      </w:pPr>
      <w:r w:rsidRPr="00E322CF">
        <w:t xml:space="preserve">Each Participant must promptly update any data requiring rectification brought to its attention by or on behalf of the lead controller. </w:t>
      </w:r>
    </w:p>
    <w:p w14:paraId="675B87B3" w14:textId="77777777" w:rsidR="00950E97" w:rsidRPr="00BE5C57" w:rsidRDefault="00950E97" w:rsidP="00950E97">
      <w:pPr>
        <w:pStyle w:val="ListParagraph"/>
        <w:numPr>
          <w:ilvl w:val="1"/>
          <w:numId w:val="27"/>
        </w:numPr>
        <w:spacing w:after="120"/>
        <w:rPr>
          <w:iCs/>
        </w:rPr>
      </w:pPr>
      <w:r w:rsidRPr="00E322CF">
        <w:rPr>
          <w:iCs/>
        </w:rPr>
        <w:t>Each Participant acknowledges</w:t>
      </w:r>
      <w:r w:rsidRPr="00BE5C57">
        <w:rPr>
          <w:iCs/>
        </w:rPr>
        <w:t xml:space="preserve"> that, where applicable, a minimum dataset has been recommended to them (i.e., the lead controller’s view of what the minimum necessary data is for the purposes of the GMCR, following directions from appropriate governance).   Any data which the </w:t>
      </w:r>
      <w:r>
        <w:rPr>
          <w:iCs/>
        </w:rPr>
        <w:t>Participant</w:t>
      </w:r>
      <w:r w:rsidRPr="00BE5C57">
        <w:rPr>
          <w:iCs/>
        </w:rPr>
        <w:t xml:space="preserve"> decides to share beyond the scope of the minimum data set, is shared at the </w:t>
      </w:r>
      <w:r>
        <w:rPr>
          <w:iCs/>
        </w:rPr>
        <w:t>Participant</w:t>
      </w:r>
      <w:r w:rsidRPr="00BE5C57">
        <w:rPr>
          <w:iCs/>
        </w:rPr>
        <w:t>’s discretion and risk</w:t>
      </w:r>
      <w:r>
        <w:rPr>
          <w:iCs/>
        </w:rPr>
        <w:t>,</w:t>
      </w:r>
      <w:r w:rsidRPr="00BE5C57">
        <w:rPr>
          <w:iCs/>
        </w:rPr>
        <w:t xml:space="preserve"> and it is their responsibility to ensure that all such additional sharing is in accordance with data protection laws.</w:t>
      </w:r>
    </w:p>
    <w:p w14:paraId="3D71C474" w14:textId="77777777" w:rsidR="00950E97" w:rsidRPr="00BE5C57" w:rsidRDefault="00950E97" w:rsidP="00950E97">
      <w:pPr>
        <w:pStyle w:val="ListParagraph"/>
        <w:numPr>
          <w:ilvl w:val="1"/>
          <w:numId w:val="27"/>
        </w:numPr>
        <w:spacing w:after="120"/>
        <w:rPr>
          <w:iCs/>
        </w:rPr>
      </w:pPr>
      <w:r w:rsidRPr="00BE5C57">
        <w:rPr>
          <w:iCs/>
        </w:rPr>
        <w:t xml:space="preserve">Each </w:t>
      </w:r>
      <w:r>
        <w:rPr>
          <w:iCs/>
        </w:rPr>
        <w:t>Participant</w:t>
      </w:r>
      <w:r w:rsidRPr="00BE5C57">
        <w:rPr>
          <w:iCs/>
        </w:rPr>
        <w:t xml:space="preserve"> will nominate a key contact to deal with queries regarding GMCR.</w:t>
      </w:r>
    </w:p>
    <w:p w14:paraId="508A7B98" w14:textId="77777777" w:rsidR="00950E97" w:rsidRPr="00BB0FB7" w:rsidRDefault="00950E97" w:rsidP="00950E97">
      <w:pPr>
        <w:pStyle w:val="ListParagraph"/>
        <w:numPr>
          <w:ilvl w:val="1"/>
          <w:numId w:val="27"/>
        </w:numPr>
        <w:spacing w:after="120"/>
        <w:rPr>
          <w:rStyle w:val="Heading2Char"/>
          <w:b w:val="0"/>
          <w:bCs/>
        </w:rPr>
      </w:pPr>
      <w:r w:rsidRPr="00BE5C57">
        <w:rPr>
          <w:iCs/>
        </w:rPr>
        <w:t xml:space="preserve">Each </w:t>
      </w:r>
      <w:r>
        <w:rPr>
          <w:iCs/>
        </w:rPr>
        <w:t>Participant</w:t>
      </w:r>
      <w:r w:rsidRPr="00BE5C57">
        <w:rPr>
          <w:iCs/>
        </w:rPr>
        <w:t xml:space="preserve"> shall have an appropriate information assurance framework in place</w:t>
      </w:r>
      <w:r>
        <w:rPr>
          <w:iCs/>
        </w:rPr>
        <w:t>,</w:t>
      </w:r>
      <w:r w:rsidRPr="00BE5C57">
        <w:rPr>
          <w:iCs/>
        </w:rPr>
        <w:t xml:space="preserve"> </w:t>
      </w:r>
      <w:r w:rsidRPr="00BB0FB7">
        <w:rPr>
          <w:rStyle w:val="Heading2Char"/>
          <w:b w:val="0"/>
          <w:bCs/>
        </w:rPr>
        <w:t>including</w:t>
      </w:r>
      <w:r>
        <w:rPr>
          <w:rStyle w:val="Heading2Char"/>
          <w:b w:val="0"/>
          <w:bCs/>
        </w:rPr>
        <w:t>,</w:t>
      </w:r>
      <w:r w:rsidRPr="00BB0FB7">
        <w:rPr>
          <w:rStyle w:val="Heading2Char"/>
          <w:b w:val="0"/>
          <w:bCs/>
        </w:rPr>
        <w:t xml:space="preserve"> as a minimum</w:t>
      </w:r>
      <w:r>
        <w:rPr>
          <w:rStyle w:val="Heading2Char"/>
          <w:b w:val="0"/>
          <w:bCs/>
        </w:rPr>
        <w:t>,</w:t>
      </w:r>
      <w:r w:rsidRPr="00BB0FB7">
        <w:rPr>
          <w:rStyle w:val="Heading2Char"/>
          <w:b w:val="0"/>
          <w:bCs/>
        </w:rPr>
        <w:t xml:space="preserve"> the Data Security and Protection Toolkit</w:t>
      </w:r>
      <w:r>
        <w:rPr>
          <w:rStyle w:val="Heading2Char"/>
          <w:b w:val="0"/>
          <w:bCs/>
        </w:rPr>
        <w:t>,</w:t>
      </w:r>
      <w:r w:rsidRPr="00BE5C57">
        <w:rPr>
          <w:iCs/>
        </w:rPr>
        <w:t xml:space="preserve"> and commits to meet these</w:t>
      </w:r>
      <w:r w:rsidRPr="00BB0FB7">
        <w:rPr>
          <w:rStyle w:val="Heading2Char"/>
          <w:b w:val="0"/>
          <w:bCs/>
        </w:rPr>
        <w:t xml:space="preserve"> standards (or to have an approved action plan in place to meet them).</w:t>
      </w:r>
    </w:p>
    <w:p w14:paraId="6BB44DCF" w14:textId="77777777" w:rsidR="00950E97" w:rsidRPr="00BE5C57" w:rsidRDefault="00950E97" w:rsidP="00950E97">
      <w:pPr>
        <w:pStyle w:val="ListParagraph"/>
        <w:numPr>
          <w:ilvl w:val="0"/>
          <w:numId w:val="27"/>
        </w:numPr>
        <w:spacing w:before="240" w:after="120"/>
        <w:ind w:left="357" w:hanging="357"/>
        <w:rPr>
          <w:b/>
          <w:bCs/>
        </w:rPr>
      </w:pPr>
      <w:r w:rsidRPr="00BE5C57">
        <w:rPr>
          <w:b/>
          <w:bCs/>
        </w:rPr>
        <w:t>Management and oversight</w:t>
      </w:r>
    </w:p>
    <w:p w14:paraId="7F19E4FF" w14:textId="77777777" w:rsidR="00950E97" w:rsidRPr="00F9747F" w:rsidRDefault="00950E97" w:rsidP="00950E97">
      <w:pPr>
        <w:pStyle w:val="Subtitle"/>
      </w:pPr>
      <w:r w:rsidRPr="00F9747F">
        <w:lastRenderedPageBreak/>
        <w:t xml:space="preserve">We want all </w:t>
      </w:r>
      <w:r>
        <w:t>Participant</w:t>
      </w:r>
      <w:r w:rsidRPr="00F9747F">
        <w:t xml:space="preserve">s to be able to focus their time and attention on what they do best - delivering great patient care.  However, proper management and oversight of the GMCR Solution is also very important, which is why </w:t>
      </w:r>
      <w:r>
        <w:t>Participant</w:t>
      </w:r>
      <w:r w:rsidRPr="00F9747F">
        <w:t>s must agree to the following.</w:t>
      </w:r>
    </w:p>
    <w:p w14:paraId="1F7312EF" w14:textId="77777777" w:rsidR="00950E97" w:rsidRPr="00A17DB2" w:rsidRDefault="00950E97" w:rsidP="00950E97">
      <w:pPr>
        <w:pStyle w:val="ListParagraph"/>
        <w:numPr>
          <w:ilvl w:val="1"/>
          <w:numId w:val="27"/>
        </w:numPr>
        <w:spacing w:after="120"/>
      </w:pPr>
      <w:r w:rsidRPr="00A17DB2">
        <w:t xml:space="preserve">Each </w:t>
      </w:r>
      <w:r>
        <w:t>Participant</w:t>
      </w:r>
      <w:r w:rsidRPr="00A17DB2">
        <w:t xml:space="preserve"> acknowledges the appointment of the lead controller as the lead for the GMCR </w:t>
      </w:r>
      <w:r>
        <w:t xml:space="preserve">Solution </w:t>
      </w:r>
      <w:r w:rsidRPr="00A17DB2">
        <w:t>and agrees that the lead controller has the overall management responsibility and oversight role for use of the GMCR</w:t>
      </w:r>
      <w:r>
        <w:t xml:space="preserve"> Solution</w:t>
      </w:r>
      <w:r w:rsidRPr="00A17DB2">
        <w:t xml:space="preserve">. </w:t>
      </w:r>
    </w:p>
    <w:p w14:paraId="1CAA1DE3" w14:textId="77777777" w:rsidR="00950E97" w:rsidRDefault="00950E97" w:rsidP="00950E97">
      <w:pPr>
        <w:pStyle w:val="ListParagraph"/>
        <w:numPr>
          <w:ilvl w:val="1"/>
          <w:numId w:val="27"/>
        </w:numPr>
        <w:spacing w:after="120"/>
      </w:pPr>
      <w:r>
        <w:t>The lead controller will take the necessary steps to consult with each Participant when new access is being granted to share Participant data.</w:t>
      </w:r>
    </w:p>
    <w:p w14:paraId="454956BF" w14:textId="77777777" w:rsidR="00950E97" w:rsidRDefault="00950E97" w:rsidP="00950E97">
      <w:pPr>
        <w:pStyle w:val="ListParagraph"/>
        <w:numPr>
          <w:ilvl w:val="1"/>
          <w:numId w:val="27"/>
        </w:numPr>
        <w:spacing w:after="120"/>
      </w:pPr>
      <w:r>
        <w:t>The lead controller will take necessary steps to ensure that each new Participant is bound by the appropriate terms and maintains evidence of this.</w:t>
      </w:r>
    </w:p>
    <w:p w14:paraId="2991A997" w14:textId="77777777" w:rsidR="00950E97" w:rsidRPr="00A17DB2" w:rsidRDefault="00950E97" w:rsidP="00950E97">
      <w:pPr>
        <w:pStyle w:val="ListParagraph"/>
        <w:numPr>
          <w:ilvl w:val="1"/>
          <w:numId w:val="27"/>
        </w:numPr>
        <w:spacing w:after="120"/>
      </w:pPr>
      <w:r w:rsidRPr="00A17DB2">
        <w:t xml:space="preserve">Each </w:t>
      </w:r>
      <w:r>
        <w:t>Participant</w:t>
      </w:r>
      <w:r w:rsidRPr="00A17DB2">
        <w:t xml:space="preserve"> acknowledges that the lead controller will (whether via the GMCR Solution itself and/or via any other electronic or easily accessible means) publicise the participation of each </w:t>
      </w:r>
      <w:r>
        <w:t>Participant</w:t>
      </w:r>
      <w:r w:rsidRPr="00A17DB2">
        <w:t xml:space="preserve"> in the GMCR to all other </w:t>
      </w:r>
      <w:r>
        <w:t>Participant</w:t>
      </w:r>
      <w:r w:rsidRPr="00A17DB2">
        <w:t>s and GM citizens more broadly (as the same may change from time to time), to ensure that there is transparency at all times of who is contributing to, using and managing the data.</w:t>
      </w:r>
    </w:p>
    <w:p w14:paraId="5423D547" w14:textId="77777777" w:rsidR="00950E97" w:rsidRPr="00A17DB2" w:rsidRDefault="00950E97" w:rsidP="00950E97">
      <w:pPr>
        <w:pStyle w:val="ListParagraph"/>
        <w:numPr>
          <w:ilvl w:val="1"/>
          <w:numId w:val="27"/>
        </w:numPr>
        <w:spacing w:after="120"/>
      </w:pPr>
      <w:r w:rsidRPr="00A17DB2">
        <w:t xml:space="preserve">Each </w:t>
      </w:r>
      <w:r>
        <w:t>Participant</w:t>
      </w:r>
      <w:r w:rsidRPr="00A17DB2">
        <w:t xml:space="preserve"> </w:t>
      </w:r>
      <w:r w:rsidRPr="00A22BA9">
        <w:t xml:space="preserve">agrees (subject to any </w:t>
      </w:r>
      <w:r w:rsidRPr="00F12363">
        <w:t xml:space="preserve">upheld objection or </w:t>
      </w:r>
      <w:r w:rsidRPr="00A22BA9">
        <w:t xml:space="preserve">valid patient opt-outs as further considered in </w:t>
      </w:r>
      <w:r w:rsidRPr="00F12363">
        <w:t>S</w:t>
      </w:r>
      <w:r w:rsidRPr="00A22BA9">
        <w:t xml:space="preserve">ection </w:t>
      </w:r>
      <w:r w:rsidRPr="00F12363">
        <w:fldChar w:fldCharType="begin"/>
      </w:r>
      <w:r w:rsidRPr="00A22BA9">
        <w:instrText xml:space="preserve"> REF _Ref93320882 \r \h </w:instrText>
      </w:r>
      <w:r>
        <w:instrText xml:space="preserve"> \* MERGEFORMAT </w:instrText>
      </w:r>
      <w:r w:rsidRPr="00F12363">
        <w:fldChar w:fldCharType="separate"/>
      </w:r>
      <w:r>
        <w:t>4</w:t>
      </w:r>
      <w:r w:rsidRPr="00F12363">
        <w:fldChar w:fldCharType="end"/>
      </w:r>
      <w:r w:rsidRPr="00A22BA9">
        <w:t>)</w:t>
      </w:r>
      <w:r w:rsidRPr="00A17DB2">
        <w:t xml:space="preserve"> to the copying of all or any of the data provided by the </w:t>
      </w:r>
      <w:r>
        <w:t>Participant</w:t>
      </w:r>
      <w:r w:rsidRPr="00A17DB2">
        <w:t xml:space="preserve"> into the GMCR Solution analytics databases and such other reporting platform as agreed between the </w:t>
      </w:r>
      <w:r>
        <w:t>Participant</w:t>
      </w:r>
      <w:r w:rsidRPr="00A17DB2">
        <w:t>s (the “</w:t>
      </w:r>
      <w:r w:rsidRPr="00592B11">
        <w:rPr>
          <w:b/>
          <w:bCs/>
        </w:rPr>
        <w:t>Analytics Databases</w:t>
      </w:r>
      <w:r w:rsidRPr="00A17DB2">
        <w:t>”)</w:t>
      </w:r>
      <w:r>
        <w:t>. Data on the Analytics Database</w:t>
      </w:r>
      <w:r w:rsidRPr="00A17DB2">
        <w:t xml:space="preserve"> may then be used for any lawful purposes (whether permitted by data protection legislation or any other applicable law), as determined by the lead controller following directions from appropriate governance </w:t>
      </w:r>
      <w:r>
        <w:t xml:space="preserve">and </w:t>
      </w:r>
      <w:r w:rsidRPr="00A17DB2">
        <w:t>subject to approval of the relevant DPIA</w:t>
      </w:r>
      <w:r>
        <w:t>s</w:t>
      </w:r>
      <w:r w:rsidRPr="00A17DB2">
        <w:t xml:space="preserve"> or approved application form</w:t>
      </w:r>
      <w:r>
        <w:t>s</w:t>
      </w:r>
      <w:r w:rsidRPr="00A17DB2">
        <w:t xml:space="preserve"> pursuant to it.  </w:t>
      </w:r>
      <w:r>
        <w:t xml:space="preserve">A Participant’s data on the Analytics Database will not be shared until confirmation that the DPIA is approved </w:t>
      </w:r>
      <w:r w:rsidRPr="00A17DB2">
        <w:t>from appropriate governance</w:t>
      </w:r>
      <w:r>
        <w:t xml:space="preserve">, </w:t>
      </w:r>
      <w:r w:rsidRPr="00A25978">
        <w:t>or in the case of a Local Authority</w:t>
      </w:r>
      <w:r>
        <w:t>,</w:t>
      </w:r>
      <w:r w:rsidRPr="00A25978">
        <w:t xml:space="preserve"> by confirmation that the DPIA has been approved in accordance with its internal governance arrangements</w:t>
      </w:r>
      <w:r>
        <w:t>.</w:t>
      </w:r>
    </w:p>
    <w:p w14:paraId="7DB9F34F" w14:textId="77777777" w:rsidR="00950E97" w:rsidRDefault="00950E97" w:rsidP="00950E97">
      <w:pPr>
        <w:pStyle w:val="ListParagraph"/>
        <w:numPr>
          <w:ilvl w:val="1"/>
          <w:numId w:val="27"/>
        </w:numPr>
        <w:spacing w:after="120"/>
      </w:pPr>
      <w:r w:rsidRPr="00A17DB2">
        <w:t xml:space="preserve">The lead controller may also provide for the pseudonymisation or anonymisation of such data.  </w:t>
      </w:r>
    </w:p>
    <w:p w14:paraId="61B81AD4" w14:textId="77777777" w:rsidR="00950E97" w:rsidRPr="00A17DB2" w:rsidRDefault="00950E97" w:rsidP="00950E97">
      <w:pPr>
        <w:pStyle w:val="ListParagraph"/>
        <w:numPr>
          <w:ilvl w:val="1"/>
          <w:numId w:val="27"/>
        </w:numPr>
        <w:spacing w:after="120"/>
      </w:pPr>
      <w:r w:rsidRPr="00A17DB2">
        <w:t xml:space="preserve">The </w:t>
      </w:r>
      <w:r>
        <w:t>Participant</w:t>
      </w:r>
      <w:r w:rsidRPr="00A17DB2">
        <w:t xml:space="preserve"> agrees that the lead controller shall then be entitled to act as gatekeeper for any subsequent </w:t>
      </w:r>
      <w:r>
        <w:t xml:space="preserve">permitted access and </w:t>
      </w:r>
      <w:r w:rsidRPr="00A17DB2">
        <w:t xml:space="preserve">uses of the data held in the </w:t>
      </w:r>
      <w:r>
        <w:t>GMCR</w:t>
      </w:r>
      <w:r w:rsidRPr="00A17DB2">
        <w:t xml:space="preserve">, subject to appropriate controls and governance. </w:t>
      </w:r>
      <w:r>
        <w:t xml:space="preserve">Permitted access includes access by public sector organisations outside of GM, universities and or charities (particularly those providing NHS funded care) or commercial organisations provided that, for the latter, access to the data is limited to de-identified data only. For any other access, the express consent of the Participant will be required. </w:t>
      </w:r>
    </w:p>
    <w:p w14:paraId="6EEA1E0A" w14:textId="77777777" w:rsidR="00950E97" w:rsidRPr="00A17DB2" w:rsidRDefault="00950E97" w:rsidP="00950E97">
      <w:pPr>
        <w:pStyle w:val="ListParagraph"/>
        <w:numPr>
          <w:ilvl w:val="1"/>
          <w:numId w:val="27"/>
        </w:numPr>
        <w:spacing w:after="120"/>
      </w:pPr>
      <w:r w:rsidRPr="00A17DB2">
        <w:t xml:space="preserve">The lead controller is entitled to delete any data uploaded to the GMCR Solution to the extent that it considers that the volume and/or type of such data goes beyond what is required for the purposes of GMCR, following consultation with the relevant data controllers and directions from appropriate governance. </w:t>
      </w:r>
    </w:p>
    <w:p w14:paraId="268F5C79" w14:textId="77777777" w:rsidR="00950E97" w:rsidRPr="00A17DB2" w:rsidRDefault="00950E97" w:rsidP="00950E97">
      <w:pPr>
        <w:pStyle w:val="ListParagraph"/>
        <w:numPr>
          <w:ilvl w:val="1"/>
          <w:numId w:val="27"/>
        </w:numPr>
        <w:spacing w:after="120"/>
      </w:pPr>
      <w:r w:rsidRPr="00A17DB2">
        <w:t xml:space="preserve">The lead controller </w:t>
      </w:r>
      <w:r w:rsidRPr="00C177B7">
        <w:t xml:space="preserve">in consultation with relevant social care and analytical experts </w:t>
      </w:r>
      <w:r w:rsidRPr="00A17DB2">
        <w:t>will recommend minimum data sets per feed as agreed following due governance by the relevant I</w:t>
      </w:r>
      <w:r>
        <w:t xml:space="preserve">nformation </w:t>
      </w:r>
      <w:r w:rsidRPr="00A17DB2">
        <w:t>G</w:t>
      </w:r>
      <w:r>
        <w:t>overnance</w:t>
      </w:r>
      <w:r w:rsidRPr="00A17DB2">
        <w:t xml:space="preserve"> and health and care leads. </w:t>
      </w:r>
    </w:p>
    <w:p w14:paraId="64DB44BA" w14:textId="77777777" w:rsidR="00950E97" w:rsidRPr="00A17DB2" w:rsidRDefault="00950E97" w:rsidP="00950E97">
      <w:pPr>
        <w:pStyle w:val="ListParagraph"/>
        <w:numPr>
          <w:ilvl w:val="1"/>
          <w:numId w:val="27"/>
        </w:numPr>
        <w:spacing w:after="120"/>
      </w:pPr>
      <w:r w:rsidRPr="00A17DB2">
        <w:t xml:space="preserve">The lead controller will provide management reports to the </w:t>
      </w:r>
      <w:r>
        <w:t>Participant</w:t>
      </w:r>
      <w:r w:rsidRPr="00A17DB2">
        <w:t xml:space="preserve">s advising them of its general audit and compliance activities, and including those relating to any investigation into (and the findings of any such investigation of) the actions or omissions of any particular </w:t>
      </w:r>
      <w:r>
        <w:t>Participant</w:t>
      </w:r>
      <w:r w:rsidRPr="00A17DB2">
        <w:t xml:space="preserve"> or </w:t>
      </w:r>
      <w:r>
        <w:t>Participant</w:t>
      </w:r>
      <w:r w:rsidRPr="00A17DB2">
        <w:t xml:space="preserve">s but will not do so without having first consulted with the </w:t>
      </w:r>
      <w:r>
        <w:t>Participant</w:t>
      </w:r>
      <w:r w:rsidRPr="00A17DB2">
        <w:t>(s) which is the subject of the investigation.</w:t>
      </w:r>
    </w:p>
    <w:p w14:paraId="4AE88B4E" w14:textId="77777777" w:rsidR="00950E97" w:rsidRPr="00A17DB2" w:rsidRDefault="00950E97" w:rsidP="00950E97">
      <w:pPr>
        <w:pStyle w:val="ListParagraph"/>
        <w:numPr>
          <w:ilvl w:val="1"/>
          <w:numId w:val="27"/>
        </w:numPr>
        <w:spacing w:after="120"/>
      </w:pPr>
      <w:r w:rsidRPr="00A17DB2">
        <w:t xml:space="preserve">Unless the </w:t>
      </w:r>
      <w:r>
        <w:t>Participant</w:t>
      </w:r>
      <w:r w:rsidRPr="00A17DB2">
        <w:t xml:space="preserve"> can reasonably justify any non-compliance with these </w:t>
      </w:r>
      <w:r>
        <w:t>R</w:t>
      </w:r>
      <w:r w:rsidRPr="00A17DB2">
        <w:t>ules</w:t>
      </w:r>
      <w:r>
        <w:t xml:space="preserve"> of Engagement</w:t>
      </w:r>
      <w:r w:rsidRPr="00A17DB2">
        <w:t xml:space="preserve">, the lead controller will escalate this as an issue through governance and, ultimately, where all other options have been exhausted and the safety and integrity of </w:t>
      </w:r>
      <w:r w:rsidRPr="00A17DB2">
        <w:lastRenderedPageBreak/>
        <w:t xml:space="preserve">the GMCR Solution is at risk, withdraw the </w:t>
      </w:r>
      <w:r>
        <w:t>Participant</w:t>
      </w:r>
      <w:r w:rsidRPr="00A17DB2">
        <w:t>’s permission to participate</w:t>
      </w:r>
      <w:r>
        <w:t xml:space="preserve"> as further set out in Section 8.6 below on Disputes</w:t>
      </w:r>
      <w:r w:rsidRPr="00A17DB2">
        <w:t xml:space="preserve">. The lead controller is entitled to include specific warning (on the GMCR Solution itself and/or elsewhere) that the </w:t>
      </w:r>
      <w:r>
        <w:t>Participant</w:t>
      </w:r>
      <w:r w:rsidRPr="00A17DB2">
        <w:t xml:space="preserve"> has declined to contribute and/ or comply with these </w:t>
      </w:r>
      <w:r>
        <w:t>R</w:t>
      </w:r>
      <w:r w:rsidRPr="00A17DB2">
        <w:t>ules</w:t>
      </w:r>
      <w:r>
        <w:t xml:space="preserve"> of Engagement</w:t>
      </w:r>
      <w:r w:rsidRPr="00A17DB2">
        <w:t>.</w:t>
      </w:r>
      <w:r>
        <w:t xml:space="preserve"> </w:t>
      </w:r>
    </w:p>
    <w:p w14:paraId="56351337" w14:textId="5CE0E9D2" w:rsidR="00950E97" w:rsidRPr="00BE5C57" w:rsidRDefault="00950E97" w:rsidP="00950E97">
      <w:pPr>
        <w:pStyle w:val="ListParagraph"/>
        <w:numPr>
          <w:ilvl w:val="0"/>
          <w:numId w:val="27"/>
        </w:numPr>
        <w:spacing w:before="240" w:after="120"/>
        <w:ind w:left="357" w:hanging="357"/>
        <w:rPr>
          <w:b/>
          <w:bCs/>
        </w:rPr>
      </w:pPr>
      <w:bookmarkStart w:id="61" w:name="_Ref93320882"/>
      <w:r w:rsidRPr="00BE5C57">
        <w:rPr>
          <w:b/>
          <w:bCs/>
        </w:rPr>
        <w:t>Use of GMCR Solution</w:t>
      </w:r>
      <w:bookmarkEnd w:id="61"/>
    </w:p>
    <w:p w14:paraId="4D2F03B0" w14:textId="77777777" w:rsidR="00950E97" w:rsidRPr="00A17DB2" w:rsidRDefault="00950E97" w:rsidP="00950E97">
      <w:pPr>
        <w:pStyle w:val="Subtitle"/>
      </w:pPr>
      <w:r w:rsidRPr="00A17DB2">
        <w:t xml:space="preserve">It is vital to maintaining the trust and confidence that patients, carers and other users of health and care related services place in us, that every </w:t>
      </w:r>
      <w:r>
        <w:t>Participant</w:t>
      </w:r>
      <w:r w:rsidRPr="00A17DB2">
        <w:t xml:space="preserve"> recognises the utmost importance of the appropriateness of its use of the GMCR Solution.  These responsibilities aim to support that.</w:t>
      </w:r>
    </w:p>
    <w:p w14:paraId="1FAD678F" w14:textId="23CF09A8" w:rsidR="00950E97" w:rsidRPr="00A17DB2" w:rsidRDefault="00950E97" w:rsidP="00950E97">
      <w:pPr>
        <w:pStyle w:val="ListParagraph"/>
        <w:numPr>
          <w:ilvl w:val="1"/>
          <w:numId w:val="27"/>
        </w:numPr>
        <w:spacing w:after="120"/>
      </w:pPr>
      <w:bookmarkStart w:id="62" w:name="_Ref93348191"/>
      <w:r w:rsidRPr="00A17DB2">
        <w:t xml:space="preserve">Each </w:t>
      </w:r>
      <w:r>
        <w:t>Participant</w:t>
      </w:r>
      <w:r w:rsidRPr="00A17DB2">
        <w:t xml:space="preserve"> must update and keep regularly updated its own privacy notices and any other privacy and confidentiality-related communications with patients, carers and other users of its services so that they clearly and accurately disclose the </w:t>
      </w:r>
      <w:r>
        <w:t>Participant</w:t>
      </w:r>
      <w:r w:rsidRPr="00A17DB2">
        <w:t xml:space="preserve">’s role as a </w:t>
      </w:r>
      <w:r>
        <w:t>Participant</w:t>
      </w:r>
      <w:r w:rsidRPr="00A17DB2">
        <w:t xml:space="preserve"> in the GMCR and the sharing of data through the use of the GMCR Solution with other </w:t>
      </w:r>
      <w:r>
        <w:t>Participant</w:t>
      </w:r>
      <w:r w:rsidRPr="00A17DB2">
        <w:t xml:space="preserve">s in the GMCR.  </w:t>
      </w:r>
      <w:r>
        <w:t>The LHCR guidance</w:t>
      </w:r>
      <w:r>
        <w:rPr>
          <w:rStyle w:val="FootnoteReference"/>
        </w:rPr>
        <w:footnoteReference w:id="3"/>
      </w:r>
      <w:r>
        <w:t xml:space="preserve"> provides recommendation for a paragraph to be inserted in the Participants’ privacy notice to direct Patients to the relevant care records’ website and all the up-to-date information on processing it contains. </w:t>
      </w:r>
      <w:r w:rsidRPr="00A17DB2">
        <w:t xml:space="preserve">It is for each </w:t>
      </w:r>
      <w:r>
        <w:t>Participant</w:t>
      </w:r>
      <w:r w:rsidRPr="00A17DB2">
        <w:t xml:space="preserve"> to satisfy itself that it complies with its obligations under data protection legislation and any other such similar legislation when sharing and using data processed by the GMCR Solution.</w:t>
      </w:r>
      <w:r>
        <w:t xml:space="preserve"> It is the lead controller’s responsibility to ensure that </w:t>
      </w:r>
      <w:r w:rsidRPr="00602010">
        <w:t xml:space="preserve">a transparency notice </w:t>
      </w:r>
      <w:r>
        <w:t xml:space="preserve">is created and maintain </w:t>
      </w:r>
      <w:r w:rsidRPr="00602010">
        <w:t>for the</w:t>
      </w:r>
      <w:r>
        <w:t xml:space="preserve"> GMCR’s</w:t>
      </w:r>
      <w:r w:rsidRPr="00602010">
        <w:t xml:space="preserve"> website </w:t>
      </w:r>
      <w:r>
        <w:t>to</w:t>
      </w:r>
      <w:r w:rsidRPr="00602010">
        <w:t xml:space="preserve"> include all of the information that controllers are required to provide under</w:t>
      </w:r>
      <w:r>
        <w:t xml:space="preserve"> the UK</w:t>
      </w:r>
      <w:r w:rsidRPr="00602010">
        <w:t xml:space="preserve"> GDPR.</w:t>
      </w:r>
      <w:bookmarkEnd w:id="62"/>
    </w:p>
    <w:p w14:paraId="5A6A8CA6" w14:textId="77777777" w:rsidR="00950E97" w:rsidRPr="00A17DB2" w:rsidRDefault="00950E97" w:rsidP="00950E97">
      <w:pPr>
        <w:pStyle w:val="ListParagraph"/>
        <w:numPr>
          <w:ilvl w:val="1"/>
          <w:numId w:val="27"/>
        </w:numPr>
        <w:spacing w:after="120"/>
      </w:pPr>
      <w:r w:rsidRPr="00A17DB2">
        <w:t xml:space="preserve">Each </w:t>
      </w:r>
      <w:r>
        <w:t>Participant</w:t>
      </w:r>
      <w:r w:rsidRPr="00A17DB2">
        <w:t xml:space="preserve"> must also clearly and prominently display, use and/or otherwise signpost patients, carers and other users of its services to any communication materials provided by the lead controller regarding the GMCR and/or the GMCR Solution and maintain a narrative consistent with those materials when dealing with any queries made directly to it.</w:t>
      </w:r>
    </w:p>
    <w:p w14:paraId="44A2A2E2" w14:textId="77777777" w:rsidR="00950E97" w:rsidRPr="001D5FF5" w:rsidRDefault="00950E97" w:rsidP="00950E97">
      <w:pPr>
        <w:pStyle w:val="ListParagraph"/>
        <w:numPr>
          <w:ilvl w:val="1"/>
          <w:numId w:val="27"/>
        </w:numPr>
        <w:spacing w:after="120"/>
      </w:pPr>
      <w:r w:rsidRPr="00A17DB2">
        <w:t xml:space="preserve">Each </w:t>
      </w:r>
      <w:r>
        <w:t>Participant</w:t>
      </w:r>
      <w:r w:rsidRPr="00A17DB2">
        <w:t xml:space="preserve"> is responsible for mak</w:t>
      </w:r>
      <w:r>
        <w:t>ing</w:t>
      </w:r>
      <w:r w:rsidRPr="00A17DB2">
        <w:t xml:space="preserve"> it </w:t>
      </w:r>
      <w:r w:rsidRPr="00AB6BCB">
        <w:t>clear</w:t>
      </w:r>
      <w:r w:rsidRPr="004E2F77">
        <w:t xml:space="preserve"> t</w:t>
      </w:r>
      <w:r w:rsidRPr="00A17DB2">
        <w:t xml:space="preserve">o </w:t>
      </w:r>
      <w:r>
        <w:t xml:space="preserve">their </w:t>
      </w:r>
      <w:r w:rsidRPr="00A17DB2">
        <w:t xml:space="preserve">patients, carers and other users of its services that they have a right to object to the sharing of their data for direct care purposes or opt-out from the </w:t>
      </w:r>
      <w:r>
        <w:t>use</w:t>
      </w:r>
      <w:r w:rsidRPr="00A17DB2">
        <w:t xml:space="preserve"> of their data for secondary use</w:t>
      </w:r>
      <w:r>
        <w:t xml:space="preserve"> under the National Data Opt-Out</w:t>
      </w:r>
      <w:r w:rsidRPr="00A17DB2">
        <w:t>.</w:t>
      </w:r>
      <w:r>
        <w:t xml:space="preserve"> </w:t>
      </w:r>
      <w:r w:rsidRPr="00972479">
        <w:t>Unless there is an overriding public interest in breaching their civil right to confidentiality (direct care, risk to public health</w:t>
      </w:r>
      <w:r w:rsidRPr="001D5FF5">
        <w:t>, etc.), their wish should be respected as further set out in the relevant DPIAs. For Patients who lack capacity it is generally deemed to be in their best interests to have their relevant health and care information shared.</w:t>
      </w:r>
    </w:p>
    <w:p w14:paraId="2E4F8521" w14:textId="77777777" w:rsidR="00950E97" w:rsidRPr="00592B11" w:rsidRDefault="00950E97" w:rsidP="00950E97">
      <w:pPr>
        <w:pStyle w:val="ListParagraph"/>
        <w:numPr>
          <w:ilvl w:val="1"/>
          <w:numId w:val="27"/>
        </w:numPr>
        <w:spacing w:after="120"/>
      </w:pPr>
      <w:r w:rsidRPr="00592B11">
        <w:t>Each Participant must apply local controls where a patient has objected from the sharing of data and this has been upheld to ensure data is not unduly extracted to the GMCR Solution. Each Participant must also notify the lead controller of any such objections so it can do periodic checks to ensure data has not somehow made its way into the GMCR Solution. By contrast, the National Data Opt-out is managed nationally and the GMCR Solution has the appropriate interfaces to ensure compliance.</w:t>
      </w:r>
    </w:p>
    <w:p w14:paraId="3BB31257" w14:textId="77777777" w:rsidR="00950E97" w:rsidRPr="00A17DB2" w:rsidRDefault="00950E97" w:rsidP="00950E97">
      <w:pPr>
        <w:pStyle w:val="ListParagraph"/>
        <w:numPr>
          <w:ilvl w:val="1"/>
          <w:numId w:val="27"/>
        </w:numPr>
        <w:spacing w:after="120"/>
      </w:pPr>
      <w:r w:rsidRPr="001D5FF5">
        <w:t>Each Participant is at all times liable for their appropriate use of the</w:t>
      </w:r>
      <w:r w:rsidRPr="00A17DB2">
        <w:t xml:space="preserve"> data within the GMCR Solution and therefore must have processes in place to ensure only those of their end users who have a “need to know” for the purposes of their role are given access. </w:t>
      </w:r>
    </w:p>
    <w:p w14:paraId="5FD354CB" w14:textId="77777777" w:rsidR="00950E97" w:rsidRPr="00A17DB2" w:rsidRDefault="00950E97" w:rsidP="00950E97">
      <w:pPr>
        <w:pStyle w:val="ListParagraph"/>
        <w:numPr>
          <w:ilvl w:val="1"/>
          <w:numId w:val="27"/>
        </w:numPr>
        <w:spacing w:after="120"/>
      </w:pPr>
      <w:r w:rsidRPr="00A17DB2">
        <w:t xml:space="preserve">Each </w:t>
      </w:r>
      <w:r>
        <w:t>Participant</w:t>
      </w:r>
      <w:r w:rsidRPr="00A17DB2">
        <w:t xml:space="preserve"> is responsible for ensuring that neither it nor any of its users attempt to circumvent any restrictions and/or conditions and/or other controls imposed on that </w:t>
      </w:r>
      <w:r>
        <w:t>Participant</w:t>
      </w:r>
      <w:r w:rsidRPr="00A17DB2">
        <w:t>’s scope of use of the GMCR</w:t>
      </w:r>
      <w:r>
        <w:t xml:space="preserve"> Solution</w:t>
      </w:r>
      <w:r w:rsidRPr="00A17DB2">
        <w:t xml:space="preserve">, including those attaching to its rights of access and the type of data it is permitted to see/use. </w:t>
      </w:r>
    </w:p>
    <w:p w14:paraId="4968CAA2" w14:textId="77777777" w:rsidR="00950E97" w:rsidRPr="00A17DB2" w:rsidRDefault="00950E97" w:rsidP="00950E97">
      <w:pPr>
        <w:pStyle w:val="ListParagraph"/>
        <w:numPr>
          <w:ilvl w:val="1"/>
          <w:numId w:val="27"/>
        </w:numPr>
        <w:spacing w:after="120"/>
      </w:pPr>
      <w:r w:rsidRPr="00A17DB2">
        <w:lastRenderedPageBreak/>
        <w:t xml:space="preserve">Unless automatically actioned via GMSS (or the source systems where SSO applies), each </w:t>
      </w:r>
      <w:r>
        <w:t>Participant</w:t>
      </w:r>
      <w:r w:rsidRPr="00A17DB2">
        <w:t xml:space="preserve"> must promptly inform the lead controller when end users leave and ensure that all access rights are stopped.  Each </w:t>
      </w:r>
      <w:r>
        <w:t>Participant</w:t>
      </w:r>
      <w:r w:rsidRPr="00A17DB2">
        <w:t xml:space="preserve"> must also always notify the lead controller if they become aware of any out-of-date access rights relating to any other </w:t>
      </w:r>
      <w:r>
        <w:t>Participant</w:t>
      </w:r>
      <w:r w:rsidRPr="00A17DB2">
        <w:t>s’ end user access to the GMCR Solution.</w:t>
      </w:r>
    </w:p>
    <w:p w14:paraId="54328F5A" w14:textId="77777777" w:rsidR="00950E97" w:rsidRPr="00A17DB2" w:rsidRDefault="00950E97" w:rsidP="00950E97">
      <w:pPr>
        <w:pStyle w:val="ListParagraph"/>
        <w:numPr>
          <w:ilvl w:val="1"/>
          <w:numId w:val="27"/>
        </w:numPr>
        <w:spacing w:after="120"/>
      </w:pPr>
      <w:r w:rsidRPr="00A17DB2">
        <w:t xml:space="preserve">Use of the GMCR Solution and the data it contains is not a substitute for each </w:t>
      </w:r>
      <w:r>
        <w:t>Participant</w:t>
      </w:r>
      <w:r w:rsidRPr="00A17DB2">
        <w:t xml:space="preserve"> making its own enquiries and using its own knowledge, expertise and experience in providing health and care-related services to patients, carers and other users of its services.  </w:t>
      </w:r>
    </w:p>
    <w:p w14:paraId="32B25C1E" w14:textId="77777777" w:rsidR="00950E97" w:rsidRPr="00A17DB2" w:rsidRDefault="00950E97" w:rsidP="00950E97">
      <w:pPr>
        <w:pStyle w:val="ListParagraph"/>
        <w:numPr>
          <w:ilvl w:val="1"/>
          <w:numId w:val="27"/>
        </w:numPr>
        <w:spacing w:after="120"/>
      </w:pPr>
      <w:bookmarkStart w:id="63" w:name="_Ref75784070"/>
      <w:r w:rsidRPr="00A17DB2">
        <w:t xml:space="preserve">Each </w:t>
      </w:r>
      <w:r>
        <w:t>Participant</w:t>
      </w:r>
      <w:r w:rsidRPr="00A17DB2">
        <w:t xml:space="preserve"> acknowledges that the lead controller does not and is not responsible for checking the quality, accuracy and/or completeness of the data held within the GMCR Solution.  The GMCR Solution is not a complete record and may contain errors or omissions including those attributable to errors or omissions in the source systems (of the </w:t>
      </w:r>
      <w:r>
        <w:t>Participant</w:t>
      </w:r>
      <w:r w:rsidRPr="00A17DB2">
        <w:t xml:space="preserve"> itself or other </w:t>
      </w:r>
      <w:r>
        <w:t>Participant</w:t>
      </w:r>
      <w:r w:rsidRPr="00A17DB2">
        <w:t>s) from which data has been drawn or as introduced by contributors to the data and records held in the GMCR Solution.</w:t>
      </w:r>
      <w:bookmarkEnd w:id="63"/>
      <w:r w:rsidRPr="00A17DB2">
        <w:t xml:space="preserve">  </w:t>
      </w:r>
    </w:p>
    <w:p w14:paraId="7F84BE5D" w14:textId="78567D99" w:rsidR="00950E97" w:rsidRPr="00A17DB2" w:rsidRDefault="00950E97" w:rsidP="00950E97">
      <w:pPr>
        <w:pStyle w:val="ListParagraph"/>
        <w:numPr>
          <w:ilvl w:val="1"/>
          <w:numId w:val="27"/>
        </w:numPr>
        <w:spacing w:after="120"/>
      </w:pPr>
      <w:bookmarkStart w:id="64" w:name="_Ref93348354"/>
      <w:r w:rsidRPr="00A17DB2">
        <w:t xml:space="preserve">Each </w:t>
      </w:r>
      <w:r>
        <w:t>Participant</w:t>
      </w:r>
      <w:r w:rsidRPr="00A17DB2">
        <w:t xml:space="preserve"> </w:t>
      </w:r>
      <w:r>
        <w:t>and their users are expected</w:t>
      </w:r>
      <w:r w:rsidRPr="00A17DB2">
        <w:t xml:space="preserve">, whenever they are in the presence of a patient, carer or other user of the </w:t>
      </w:r>
      <w:r>
        <w:t>Participant</w:t>
      </w:r>
      <w:r w:rsidRPr="00A17DB2">
        <w:t xml:space="preserve">’s health and care-related services (whether face to face or remotely, for example during an online meeting or telephone call) </w:t>
      </w:r>
      <w:r>
        <w:t xml:space="preserve">to </w:t>
      </w:r>
      <w:r w:rsidRPr="00A17DB2">
        <w:t>verbally inform the same of their use the GMCR Solution for those purposes.</w:t>
      </w:r>
      <w:bookmarkEnd w:id="64"/>
    </w:p>
    <w:p w14:paraId="22880354" w14:textId="77777777" w:rsidR="00950E97" w:rsidRDefault="00950E97" w:rsidP="00950E97">
      <w:pPr>
        <w:pStyle w:val="ListParagraph"/>
        <w:numPr>
          <w:ilvl w:val="1"/>
          <w:numId w:val="27"/>
        </w:numPr>
        <w:spacing w:after="120"/>
      </w:pPr>
      <w:r>
        <w:t>Each Participant must keep a record of its processing in accordance with the requirements of the UK GDPR.</w:t>
      </w:r>
    </w:p>
    <w:p w14:paraId="56F465A3" w14:textId="77777777" w:rsidR="00950E97" w:rsidRPr="00A17DB2" w:rsidRDefault="00950E97" w:rsidP="00950E97">
      <w:pPr>
        <w:pStyle w:val="ListParagraph"/>
        <w:numPr>
          <w:ilvl w:val="1"/>
          <w:numId w:val="27"/>
        </w:numPr>
        <w:spacing w:after="120"/>
      </w:pPr>
      <w:r w:rsidRPr="00A17DB2">
        <w:t xml:space="preserve">Each </w:t>
      </w:r>
      <w:r>
        <w:t>Participant</w:t>
      </w:r>
      <w:r w:rsidRPr="00A17DB2">
        <w:t xml:space="preserve"> must ensure that its users attend such training as is reasonably required for the proper use of the GMCR Solution. </w:t>
      </w:r>
    </w:p>
    <w:p w14:paraId="78EBF9ED" w14:textId="77777777" w:rsidR="00950E97" w:rsidRPr="00A17DB2" w:rsidRDefault="00950E97" w:rsidP="00950E97">
      <w:pPr>
        <w:pStyle w:val="ListParagraph"/>
        <w:numPr>
          <w:ilvl w:val="1"/>
          <w:numId w:val="27"/>
        </w:numPr>
        <w:spacing w:after="120"/>
      </w:pPr>
      <w:r w:rsidRPr="00A17DB2">
        <w:t xml:space="preserve">Each </w:t>
      </w:r>
      <w:r>
        <w:t>Participant</w:t>
      </w:r>
      <w:r w:rsidRPr="00A17DB2">
        <w:t xml:space="preserve"> </w:t>
      </w:r>
      <w:r>
        <w:t>should</w:t>
      </w:r>
      <w:r w:rsidRPr="00A17DB2">
        <w:t xml:space="preserve"> carry out regular audits of its users’ activities to ensure compliance with these Rules of Engagement and notify the lead controller as soon as possible if it discovers a breach or any security issues or flaws so they can be investigated.  This includes any breach or security issues or flaws in respect of the </w:t>
      </w:r>
      <w:r>
        <w:t>Participant</w:t>
      </w:r>
      <w:r w:rsidRPr="00A17DB2">
        <w:t>’s own internal IT and other systems, where such breach or security issue or flaw does or could have an adverse impact on the GMCR Solution and the data extracted to and/or otherwise held within the GMCR Solution.</w:t>
      </w:r>
    </w:p>
    <w:p w14:paraId="0FDFDF87" w14:textId="77777777" w:rsidR="00950E97" w:rsidRPr="00A17DB2" w:rsidRDefault="00950E97" w:rsidP="00950E97">
      <w:pPr>
        <w:pStyle w:val="ListParagraph"/>
        <w:numPr>
          <w:ilvl w:val="1"/>
          <w:numId w:val="27"/>
        </w:numPr>
        <w:spacing w:after="120"/>
      </w:pPr>
      <w:r w:rsidRPr="00A17DB2">
        <w:t xml:space="preserve">If, after having joined the GMCR, a </w:t>
      </w:r>
      <w:r>
        <w:t>Participant</w:t>
      </w:r>
      <w:r w:rsidRPr="00A17DB2">
        <w:t xml:space="preserve"> wishes to withdraw from the use of the GMCR Solution, it may do so by contacting the lead controller and providing at least 30 days’ notice.  The lead controller will then ensure that, subject to all appropriate clinical safety reviews, all interfaces will be disabled</w:t>
      </w:r>
      <w:r>
        <w:t>,</w:t>
      </w:r>
      <w:r w:rsidRPr="00A17DB2">
        <w:t xml:space="preserve"> data extracts ceased and any rights of access are disabled and disable access.  However, please note that this will not affect the lawfulness of any processing carried out before expiry of the notice period.</w:t>
      </w:r>
    </w:p>
    <w:p w14:paraId="1A8EFD36" w14:textId="77777777" w:rsidR="00950E97" w:rsidRPr="00BE5C57" w:rsidRDefault="00950E97" w:rsidP="00950E97">
      <w:pPr>
        <w:pStyle w:val="ListParagraph"/>
        <w:numPr>
          <w:ilvl w:val="0"/>
          <w:numId w:val="27"/>
        </w:numPr>
        <w:spacing w:before="240" w:after="120"/>
        <w:ind w:left="357" w:hanging="357"/>
        <w:rPr>
          <w:b/>
          <w:bCs/>
        </w:rPr>
      </w:pPr>
      <w:r w:rsidRPr="00BE5C57">
        <w:rPr>
          <w:b/>
          <w:bCs/>
        </w:rPr>
        <w:t>Transparency, Data Subject Access Requests and other similar enquiries</w:t>
      </w:r>
    </w:p>
    <w:p w14:paraId="7A94B8CF" w14:textId="77777777" w:rsidR="00950E97" w:rsidRPr="00A17DB2" w:rsidRDefault="00950E97" w:rsidP="00950E97">
      <w:pPr>
        <w:pStyle w:val="Subtitle"/>
      </w:pPr>
      <w:r w:rsidRPr="00A17DB2">
        <w:t xml:space="preserve">The purpose of the GMCR must be made transparent to the general public and GMCR must be able to respond promptly and efficiently to patients, carers and other users of health and care services exercising their rights of access in respect of their personal data.  The following process will help to ensure that this happens, in respect of all data held in the GMCR Solution. </w:t>
      </w:r>
    </w:p>
    <w:p w14:paraId="3682E63E" w14:textId="77777777" w:rsidR="00950E97" w:rsidRPr="00A17DB2" w:rsidRDefault="00950E97" w:rsidP="00950E97">
      <w:pPr>
        <w:pStyle w:val="ListParagraph"/>
        <w:numPr>
          <w:ilvl w:val="1"/>
          <w:numId w:val="27"/>
        </w:numPr>
        <w:spacing w:after="120"/>
        <w:rPr>
          <w:b/>
          <w:bCs/>
          <w:i/>
          <w:iCs/>
        </w:rPr>
      </w:pPr>
      <w:r w:rsidRPr="00A17DB2">
        <w:t xml:space="preserve">Each </w:t>
      </w:r>
      <w:r>
        <w:t>Participant</w:t>
      </w:r>
      <w:r w:rsidRPr="00A17DB2">
        <w:t>:</w:t>
      </w:r>
    </w:p>
    <w:p w14:paraId="56C7BAE7" w14:textId="77777777" w:rsidR="00950E97" w:rsidRDefault="00950E97" w:rsidP="00950E97">
      <w:pPr>
        <w:pStyle w:val="ListParagraph"/>
        <w:numPr>
          <w:ilvl w:val="2"/>
          <w:numId w:val="27"/>
        </w:numPr>
        <w:spacing w:after="120"/>
      </w:pPr>
      <w:r w:rsidRPr="00850F45">
        <w:t>must ensure that its privacy notices duly refer to the GMCR</w:t>
      </w:r>
      <w:r>
        <w:t xml:space="preserve"> Solution</w:t>
      </w:r>
      <w:r w:rsidRPr="00850F45">
        <w:t xml:space="preserve"> in accordance with Section </w:t>
      </w:r>
      <w:r w:rsidRPr="00F12363">
        <w:fldChar w:fldCharType="begin"/>
      </w:r>
      <w:r w:rsidRPr="00F12363">
        <w:instrText xml:space="preserve"> REF _Ref93348191 \r \h </w:instrText>
      </w:r>
      <w:r>
        <w:instrText xml:space="preserve"> \* MERGEFORMAT </w:instrText>
      </w:r>
      <w:r w:rsidRPr="00F12363">
        <w:fldChar w:fldCharType="separate"/>
      </w:r>
      <w:r>
        <w:t>4.1</w:t>
      </w:r>
      <w:r w:rsidRPr="00F12363">
        <w:fldChar w:fldCharType="end"/>
      </w:r>
      <w:r>
        <w:t>;</w:t>
      </w:r>
    </w:p>
    <w:p w14:paraId="475A1CB7" w14:textId="77777777" w:rsidR="00950E97" w:rsidRPr="00A17DB2" w:rsidRDefault="00950E97" w:rsidP="00950E97">
      <w:pPr>
        <w:pStyle w:val="ListParagraph"/>
        <w:numPr>
          <w:ilvl w:val="2"/>
          <w:numId w:val="27"/>
        </w:numPr>
        <w:spacing w:after="120"/>
      </w:pPr>
      <w:r w:rsidRPr="00A17DB2">
        <w:t xml:space="preserve">acknowledges that the nature, purpose and scope of the GMCR will be made public via a broad range of marketing and communications campaigns which may include all or any of the following: website(s), radio announcements, press </w:t>
      </w:r>
      <w:r w:rsidRPr="00A17DB2">
        <w:lastRenderedPageBreak/>
        <w:t>interviews, posters and leaflets, advertising hoardings, and other such similar marketing and communication items and materials; and</w:t>
      </w:r>
    </w:p>
    <w:p w14:paraId="670C686D" w14:textId="77777777" w:rsidR="00950E97" w:rsidRPr="00A17DB2" w:rsidRDefault="00950E97" w:rsidP="00950E97">
      <w:pPr>
        <w:pStyle w:val="ListParagraph"/>
        <w:numPr>
          <w:ilvl w:val="2"/>
          <w:numId w:val="27"/>
        </w:numPr>
        <w:spacing w:after="120"/>
      </w:pPr>
      <w:r w:rsidRPr="00A17DB2">
        <w:t xml:space="preserve">agrees that, in support of the aim of </w:t>
      </w:r>
      <w:r>
        <w:t xml:space="preserve">the </w:t>
      </w:r>
      <w:r w:rsidRPr="00A17DB2">
        <w:t>GMCR</w:t>
      </w:r>
      <w:r>
        <w:t xml:space="preserve"> Solution</w:t>
      </w:r>
      <w:r w:rsidRPr="00A17DB2">
        <w:t xml:space="preserve"> to ensure that there is full transparency at all times of who is contributing to and using and managing the data, the lead controller will (whether via the GMCR-specific website and/or via any other website, and/or via any other electronic or easily accessible means) make public each </w:t>
      </w:r>
      <w:r>
        <w:t>Participant</w:t>
      </w:r>
      <w:r w:rsidRPr="00A17DB2">
        <w:t>’s participation in the GMCR</w:t>
      </w:r>
      <w:r>
        <w:t xml:space="preserve"> Solution</w:t>
      </w:r>
      <w:r w:rsidRPr="00A17DB2">
        <w:t>.</w:t>
      </w:r>
    </w:p>
    <w:p w14:paraId="620F1688" w14:textId="77777777" w:rsidR="00950E97" w:rsidRDefault="00950E97" w:rsidP="00950E97">
      <w:pPr>
        <w:pStyle w:val="ListParagraph"/>
        <w:numPr>
          <w:ilvl w:val="1"/>
          <w:numId w:val="27"/>
        </w:numPr>
        <w:spacing w:after="120"/>
      </w:pPr>
      <w:r>
        <w:t>Whilst under Article 27.1 of the UK GDPR, data subjects have the right to send a data access subject request to any controllers, e</w:t>
      </w:r>
      <w:r w:rsidRPr="00A17DB2">
        <w:t xml:space="preserve">ach </w:t>
      </w:r>
      <w:r>
        <w:t>Participant</w:t>
      </w:r>
      <w:r w:rsidRPr="00A17DB2">
        <w:t xml:space="preserve"> agrees that </w:t>
      </w:r>
      <w:r>
        <w:t xml:space="preserve">data subjects will be directed to contact the lead controller for requests or queries and </w:t>
      </w:r>
      <w:r w:rsidRPr="00A17DB2">
        <w:t xml:space="preserve">the lead controller is entitled to respond to data subject access requests (or other such similar enquiries relating to the exercise of  individuals’ rights under data protection or other legislation) regarding data processed using the GMCR.  </w:t>
      </w:r>
      <w:r>
        <w:t xml:space="preserve">Indeed, individual Participants can reply to a Data Subject Access Request in relation to the data they themselves contribute to the GMCR and are unlikely to have the relevant information otherwise. Only the lead controller, subject to Section </w:t>
      </w:r>
      <w:r>
        <w:fldChar w:fldCharType="begin"/>
      </w:r>
      <w:r>
        <w:instrText xml:space="preserve"> REF _Ref92994905 \r \h </w:instrText>
      </w:r>
      <w:r>
        <w:fldChar w:fldCharType="separate"/>
      </w:r>
      <w:r>
        <w:t>5.4</w:t>
      </w:r>
      <w:r>
        <w:fldChar w:fldCharType="end"/>
      </w:r>
      <w:r>
        <w:t xml:space="preserve"> below, is in a position to provide an overall response in relation to the GMCR Solution.  </w:t>
      </w:r>
      <w:r w:rsidRPr="00A17DB2">
        <w:t xml:space="preserve">Each </w:t>
      </w:r>
      <w:r>
        <w:t>Participant</w:t>
      </w:r>
      <w:r w:rsidRPr="00A17DB2">
        <w:t xml:space="preserve"> further agrees that the lead controller is entitled to inform data subjects of the identity(ies) of the </w:t>
      </w:r>
      <w:r>
        <w:t>Participant</w:t>
      </w:r>
      <w:r w:rsidRPr="00A17DB2">
        <w:t xml:space="preserve">(s) and any other </w:t>
      </w:r>
      <w:r>
        <w:t>Participant</w:t>
      </w:r>
      <w:r w:rsidRPr="00A17DB2">
        <w:t xml:space="preserve"> to whom the data has been disclosed so that the data subject may also contact them, if they wish to do so.  Final responses will be shared with all relevant </w:t>
      </w:r>
      <w:r>
        <w:t>Participant</w:t>
      </w:r>
      <w:r w:rsidRPr="00A17DB2">
        <w:t xml:space="preserve">s. </w:t>
      </w:r>
    </w:p>
    <w:p w14:paraId="77E03FB0" w14:textId="77777777" w:rsidR="00950E97" w:rsidRPr="00A17DB2" w:rsidRDefault="00950E97" w:rsidP="00950E97">
      <w:pPr>
        <w:pStyle w:val="ListParagraph"/>
        <w:numPr>
          <w:ilvl w:val="1"/>
          <w:numId w:val="27"/>
        </w:numPr>
        <w:spacing w:after="120"/>
      </w:pPr>
      <w:r>
        <w:t>The lead controller is the primary point of contact to respond to FOIA requests regarding the GMCR Solution.  Where a request relates to the use of the GMCR Solution as a whole, the Participant acknowledges that they are unlikely to hold all the relevant information and they should inform the applicant of the same and direct them to address their request to the lead controller. Notwithstanding the above, where a Participant receives a request for information pertaining to its own use of the GMCR Solution, they shall use reasonable endeavours to consult with the lead controller prior to disclosure (as appropriate) and provide the lead controller with a copy of their response. In the event of a disagreement as to the content of such disclosure, the parties agree to escalate their concerns to an appropriate forum albeit the lead controller accepts that the f</w:t>
      </w:r>
      <w:r w:rsidRPr="000B6E84">
        <w:t xml:space="preserve">inal decision as to whether to release the information will remain with the </w:t>
      </w:r>
      <w:r>
        <w:t>Participant</w:t>
      </w:r>
      <w:r w:rsidRPr="000B6E84">
        <w:t>, having considered the exemptions and related public interest and prejudice tests under the Act</w:t>
      </w:r>
      <w:r>
        <w:t>.</w:t>
      </w:r>
    </w:p>
    <w:p w14:paraId="70F82C6F" w14:textId="77777777" w:rsidR="00950E97" w:rsidRPr="00A17DB2" w:rsidRDefault="00950E97" w:rsidP="00950E97">
      <w:pPr>
        <w:pStyle w:val="ListParagraph"/>
        <w:numPr>
          <w:ilvl w:val="1"/>
          <w:numId w:val="27"/>
        </w:numPr>
        <w:spacing w:after="120"/>
      </w:pPr>
      <w:bookmarkStart w:id="65" w:name="_Ref92994905"/>
      <w:r w:rsidRPr="00A17DB2">
        <w:t>The lead controller agrees that it will:</w:t>
      </w:r>
      <w:bookmarkEnd w:id="65"/>
      <w:r w:rsidRPr="00A17DB2">
        <w:t xml:space="preserve"> </w:t>
      </w:r>
    </w:p>
    <w:p w14:paraId="7BCD94EF" w14:textId="77777777" w:rsidR="00950E97" w:rsidRPr="00A17DB2" w:rsidRDefault="00950E97" w:rsidP="00950E97">
      <w:pPr>
        <w:pStyle w:val="ListParagraph"/>
        <w:numPr>
          <w:ilvl w:val="2"/>
          <w:numId w:val="27"/>
        </w:numPr>
        <w:spacing w:after="120"/>
      </w:pPr>
      <w:r w:rsidRPr="00A17DB2">
        <w:t xml:space="preserve">liaise with all </w:t>
      </w:r>
      <w:r>
        <w:t>Participant</w:t>
      </w:r>
      <w:r w:rsidRPr="00A17DB2">
        <w:t>s contributing the data in question to co-ordinate the response and ensure no disclosure where this could cause harm or distress to the data subject (e.g., not to a parent or carer because of safeguarding concerns) or result in confidential third-party data being disclosed; and</w:t>
      </w:r>
    </w:p>
    <w:p w14:paraId="18D78359" w14:textId="77777777" w:rsidR="00950E97" w:rsidRPr="00A17DB2" w:rsidRDefault="00950E97" w:rsidP="00950E97">
      <w:pPr>
        <w:pStyle w:val="ListParagraph"/>
        <w:numPr>
          <w:ilvl w:val="2"/>
          <w:numId w:val="27"/>
        </w:numPr>
        <w:spacing w:after="120"/>
      </w:pPr>
      <w:r w:rsidRPr="00A17DB2">
        <w:t xml:space="preserve">advise data subjects that it can only provide information on the data held in the GMCR Solution and this is not a complete record. For complete records, they will need to contact the </w:t>
      </w:r>
      <w:r>
        <w:t>Participant</w:t>
      </w:r>
      <w:r w:rsidRPr="00A17DB2">
        <w:t>s.</w:t>
      </w:r>
    </w:p>
    <w:p w14:paraId="1ED69DD0" w14:textId="77777777" w:rsidR="00950E97" w:rsidRPr="00BE5C57" w:rsidRDefault="00950E97" w:rsidP="00950E97">
      <w:pPr>
        <w:pStyle w:val="ListParagraph"/>
        <w:numPr>
          <w:ilvl w:val="0"/>
          <w:numId w:val="27"/>
        </w:numPr>
        <w:spacing w:before="240" w:after="120"/>
        <w:ind w:left="357" w:hanging="357"/>
        <w:rPr>
          <w:b/>
          <w:bCs/>
        </w:rPr>
      </w:pPr>
      <w:r w:rsidRPr="00BE5C57">
        <w:rPr>
          <w:b/>
          <w:bCs/>
        </w:rPr>
        <w:t>Lead Controller</w:t>
      </w:r>
    </w:p>
    <w:p w14:paraId="2A70FC0C" w14:textId="77777777" w:rsidR="00950E97" w:rsidRPr="00B00950" w:rsidRDefault="00950E97" w:rsidP="00950E97">
      <w:pPr>
        <w:pStyle w:val="Subtitle"/>
      </w:pPr>
      <w:r w:rsidRPr="00B00950">
        <w:t xml:space="preserve">The success of the GMCR lies in its deeply collaborative nature. Whilst the lead controller acts as the ultimate escalation and supervisory point, it is not acting in silo. Clarity as to its role is critical. It must also strive to implement the </w:t>
      </w:r>
      <w:r>
        <w:t>Participant</w:t>
      </w:r>
      <w:r w:rsidRPr="00B00950">
        <w:t xml:space="preserve">s’ decisions and duly report to them as further outlined below. </w:t>
      </w:r>
    </w:p>
    <w:p w14:paraId="4B8216C6" w14:textId="77777777" w:rsidR="00950E97" w:rsidRPr="00A17DB2" w:rsidRDefault="00950E97" w:rsidP="00950E97">
      <w:pPr>
        <w:pStyle w:val="ListParagraph"/>
        <w:numPr>
          <w:ilvl w:val="1"/>
          <w:numId w:val="27"/>
        </w:numPr>
        <w:spacing w:after="120"/>
      </w:pPr>
      <w:r w:rsidRPr="00A17DB2">
        <w:t xml:space="preserve">Each </w:t>
      </w:r>
      <w:r>
        <w:t>Participant</w:t>
      </w:r>
      <w:r w:rsidRPr="00A17DB2">
        <w:t xml:space="preserve"> acknowledges that the lead controller’s role in managing and overseeing the use of the GMCR </w:t>
      </w:r>
      <w:r>
        <w:t xml:space="preserve">Solution </w:t>
      </w:r>
      <w:r w:rsidRPr="00A17DB2">
        <w:t xml:space="preserve">will be guided and supported by the various Boards described in the Governance Model set out in Annex 1. The lead controller agrees that, in </w:t>
      </w:r>
      <w:r w:rsidRPr="00A17DB2">
        <w:lastRenderedPageBreak/>
        <w:t>performing its management and oversight role, it shall (to the extent applicable, given their specific terms of reference) enter into consultations with each such Board and seek to implement any recommendations or actions suggested by the same.</w:t>
      </w:r>
    </w:p>
    <w:p w14:paraId="58B08F88" w14:textId="77777777" w:rsidR="00950E97" w:rsidRPr="00A17DB2" w:rsidRDefault="00950E97" w:rsidP="00950E97">
      <w:pPr>
        <w:pStyle w:val="ListParagraph"/>
        <w:numPr>
          <w:ilvl w:val="1"/>
          <w:numId w:val="27"/>
        </w:numPr>
        <w:spacing w:after="120"/>
      </w:pPr>
      <w:r w:rsidRPr="00A17DB2">
        <w:t xml:space="preserve">The lead controller shall be responsible for entering into the </w:t>
      </w:r>
      <w:r>
        <w:t>Graphnet GMCR C</w:t>
      </w:r>
      <w:r w:rsidRPr="00A17DB2">
        <w:t xml:space="preserve">ontract and the lead controller agrees that it shall use its reasonable endeavours to manage and enforce the same for the benefit of all </w:t>
      </w:r>
      <w:r>
        <w:t>Participant</w:t>
      </w:r>
      <w:r w:rsidRPr="00A17DB2">
        <w:t xml:space="preserve">s using the GMCR Solution.  Each </w:t>
      </w:r>
      <w:r>
        <w:t>Participant</w:t>
      </w:r>
      <w:r w:rsidRPr="00A17DB2">
        <w:t xml:space="preserve"> agrees that, to the extent reasonably required by the lead controller, they shall at all times co-operate with and provide all necessary information to the lead controller to enable the lead controller to do this.</w:t>
      </w:r>
    </w:p>
    <w:p w14:paraId="087F39F0" w14:textId="77777777" w:rsidR="00950E97" w:rsidRPr="00A17DB2" w:rsidRDefault="00950E97" w:rsidP="00950E97">
      <w:pPr>
        <w:pStyle w:val="ListParagraph"/>
        <w:numPr>
          <w:ilvl w:val="1"/>
          <w:numId w:val="27"/>
        </w:numPr>
        <w:spacing w:after="120"/>
      </w:pPr>
      <w:r w:rsidRPr="00A17DB2">
        <w:t>The lead controller</w:t>
      </w:r>
      <w:r>
        <w:t xml:space="preserve"> also</w:t>
      </w:r>
      <w:r w:rsidRPr="00A17DB2">
        <w:t xml:space="preserve"> provides level 2 support and will triage calls from </w:t>
      </w:r>
      <w:r>
        <w:t>Participant</w:t>
      </w:r>
      <w:r w:rsidRPr="00A17DB2">
        <w:t xml:space="preserve">s before escalating to Graphnet as required, the terms of which are agreed outside of these Rules of Engagement. </w:t>
      </w:r>
    </w:p>
    <w:p w14:paraId="13DE6463" w14:textId="77777777" w:rsidR="00950E97" w:rsidRPr="00A17DB2" w:rsidRDefault="00950E97" w:rsidP="00950E97">
      <w:pPr>
        <w:pStyle w:val="ListParagraph"/>
        <w:numPr>
          <w:ilvl w:val="1"/>
          <w:numId w:val="27"/>
        </w:numPr>
        <w:spacing w:after="120"/>
      </w:pPr>
      <w:r w:rsidRPr="00A17DB2">
        <w:t xml:space="preserve">The lead controller, following approval from appropriate governance, grants and withdraws permissions for use of the GMCR Solution, determines the particular scope of use for each </w:t>
      </w:r>
      <w:r>
        <w:t>Participant</w:t>
      </w:r>
      <w:r w:rsidRPr="00A17DB2">
        <w:t xml:space="preserve"> and sets the general rules of use for the GMCR Solution and the data held within it (as set out in section 4 of these Rules of Engagement). </w:t>
      </w:r>
    </w:p>
    <w:p w14:paraId="55BDE648" w14:textId="77777777" w:rsidR="00950E97" w:rsidRPr="00BE5C57" w:rsidRDefault="00950E97" w:rsidP="00950E97">
      <w:pPr>
        <w:pStyle w:val="ListParagraph"/>
        <w:numPr>
          <w:ilvl w:val="0"/>
          <w:numId w:val="27"/>
        </w:numPr>
        <w:spacing w:before="240" w:after="120"/>
        <w:ind w:left="357" w:hanging="357"/>
        <w:rPr>
          <w:b/>
          <w:bCs/>
        </w:rPr>
      </w:pPr>
      <w:r w:rsidRPr="00BE5C57">
        <w:rPr>
          <w:b/>
          <w:bCs/>
        </w:rPr>
        <w:t>Governance and escalation</w:t>
      </w:r>
    </w:p>
    <w:p w14:paraId="71383A76" w14:textId="77777777" w:rsidR="00950E97" w:rsidRPr="00A17DB2" w:rsidRDefault="00950E97" w:rsidP="00950E97">
      <w:pPr>
        <w:pStyle w:val="Subtitle"/>
      </w:pPr>
      <w:r w:rsidRPr="00A17DB2">
        <w:t xml:space="preserve">The lead controller relies on a web of governance boards to ensure that the voices of the appropriate and relevant decision makers are heard and that the specialist opinions and concerns of the </w:t>
      </w:r>
      <w:r>
        <w:t>Participant</w:t>
      </w:r>
      <w:r w:rsidRPr="00A17DB2">
        <w:t xml:space="preserve">s (in all their breadths and depths) are duly considered. Adherence to that governance model is paramount to the success of the GMCR. </w:t>
      </w:r>
    </w:p>
    <w:p w14:paraId="1527A6B3" w14:textId="77777777" w:rsidR="00950E97" w:rsidRPr="00A17DB2" w:rsidRDefault="00950E97" w:rsidP="00950E97">
      <w:pPr>
        <w:pStyle w:val="ListParagraph"/>
        <w:numPr>
          <w:ilvl w:val="1"/>
          <w:numId w:val="27"/>
        </w:numPr>
        <w:spacing w:after="120"/>
      </w:pPr>
      <w:r w:rsidRPr="00A17DB2">
        <w:t xml:space="preserve">Each </w:t>
      </w:r>
      <w:r>
        <w:t>Participant</w:t>
      </w:r>
      <w:r w:rsidRPr="00A17DB2">
        <w:t xml:space="preserve"> understands and accepts that the use of the GMCR Solution is subject to the governance model outlined in Annex 1 which each </w:t>
      </w:r>
      <w:r>
        <w:t>Participant</w:t>
      </w:r>
      <w:r w:rsidRPr="00A17DB2">
        <w:t xml:space="preserve"> agrees to comply with. </w:t>
      </w:r>
    </w:p>
    <w:p w14:paraId="2D32CECF" w14:textId="77777777" w:rsidR="00950E97" w:rsidRDefault="00950E97" w:rsidP="00950E97">
      <w:pPr>
        <w:pStyle w:val="ListParagraph"/>
        <w:numPr>
          <w:ilvl w:val="1"/>
          <w:numId w:val="27"/>
        </w:numPr>
        <w:spacing w:after="120"/>
      </w:pPr>
      <w:r w:rsidRPr="00A17DB2">
        <w:t xml:space="preserve">Each </w:t>
      </w:r>
      <w:r>
        <w:t>Participant</w:t>
      </w:r>
      <w:r w:rsidRPr="00A17DB2">
        <w:t xml:space="preserve"> should keep itself updated on the developments of the GMCR</w:t>
      </w:r>
      <w:r>
        <w:t xml:space="preserve"> Solution</w:t>
      </w:r>
      <w:r w:rsidRPr="00A17DB2">
        <w:t xml:space="preserve">. All compliance related activities, minutes of meetings and other relevant information relating to the GMCR </w:t>
      </w:r>
      <w:r>
        <w:t xml:space="preserve">Solution </w:t>
      </w:r>
      <w:r w:rsidRPr="00A17DB2">
        <w:t xml:space="preserve">will be made available by contacting the GM </w:t>
      </w:r>
      <w:r>
        <w:t>Digital Transformation Office (gmdigital@healthinnovationmanchester.com)</w:t>
      </w:r>
      <w:r w:rsidRPr="00A17DB2">
        <w:t xml:space="preserve">. </w:t>
      </w:r>
    </w:p>
    <w:p w14:paraId="1134B45E" w14:textId="77777777" w:rsidR="00950E97" w:rsidRPr="00BE5C57" w:rsidRDefault="00950E97" w:rsidP="00950E97">
      <w:pPr>
        <w:pStyle w:val="ListParagraph"/>
        <w:numPr>
          <w:ilvl w:val="0"/>
          <w:numId w:val="27"/>
        </w:numPr>
        <w:spacing w:before="240" w:after="120"/>
        <w:ind w:left="357" w:hanging="357"/>
        <w:rPr>
          <w:b/>
          <w:bCs/>
        </w:rPr>
      </w:pPr>
      <w:r w:rsidRPr="00BE5C57">
        <w:rPr>
          <w:b/>
          <w:bCs/>
        </w:rPr>
        <w:t>Disputes and Breaches</w:t>
      </w:r>
    </w:p>
    <w:p w14:paraId="2DF83378" w14:textId="77777777" w:rsidR="00950E97" w:rsidRPr="00A17DB2" w:rsidRDefault="00950E97" w:rsidP="00950E97">
      <w:pPr>
        <w:pStyle w:val="Subtitle"/>
      </w:pPr>
      <w:r w:rsidRPr="00A17DB2">
        <w:t>These responsibilities are intended to support a prompt return to the smooth functioning of the GMCR and use of the GMCR Solution in circumstances where problems or issues arise, including those relating to failure to adhere to these Rules of Engagement.</w:t>
      </w:r>
    </w:p>
    <w:p w14:paraId="25DB5AB6" w14:textId="77777777" w:rsidR="00950E97" w:rsidRPr="00A17DB2" w:rsidRDefault="00950E97" w:rsidP="00950E97">
      <w:pPr>
        <w:pStyle w:val="ListParagraph"/>
        <w:numPr>
          <w:ilvl w:val="1"/>
          <w:numId w:val="27"/>
        </w:numPr>
        <w:spacing w:after="120"/>
      </w:pPr>
      <w:r w:rsidRPr="00A17DB2">
        <w:t xml:space="preserve">Each </w:t>
      </w:r>
      <w:r>
        <w:t>Participant</w:t>
      </w:r>
      <w:r w:rsidRPr="00A17DB2">
        <w:t xml:space="preserve"> must promptly notify the lead controller</w:t>
      </w:r>
      <w:r>
        <w:t xml:space="preserve"> at </w:t>
      </w:r>
      <w:hyperlink r:id="rId21" w:history="1">
        <w:r w:rsidRPr="00A075DA">
          <w:rPr>
            <w:rStyle w:val="Hyperlink"/>
          </w:rPr>
          <w:t>gmhscp.gmcr.dpo@nhs.net</w:t>
        </w:r>
      </w:hyperlink>
      <w:r>
        <w:t xml:space="preserve"> </w:t>
      </w:r>
      <w:r w:rsidRPr="00A17DB2">
        <w:t xml:space="preserve">if it becomes aware of any breach of these Rules of Engagement, whether by the </w:t>
      </w:r>
      <w:r>
        <w:t>Participant</w:t>
      </w:r>
      <w:r w:rsidRPr="00A17DB2">
        <w:t xml:space="preserve"> itself or any other </w:t>
      </w:r>
      <w:r>
        <w:t>Participant</w:t>
      </w:r>
      <w:r w:rsidRPr="00A17DB2">
        <w:t>.</w:t>
      </w:r>
    </w:p>
    <w:p w14:paraId="6B33C2F8" w14:textId="77777777" w:rsidR="00950E97" w:rsidRPr="00A17DB2" w:rsidRDefault="00950E97" w:rsidP="00950E97">
      <w:pPr>
        <w:pStyle w:val="ListParagraph"/>
        <w:numPr>
          <w:ilvl w:val="1"/>
          <w:numId w:val="27"/>
        </w:numPr>
        <w:spacing w:after="120"/>
      </w:pPr>
      <w:r w:rsidRPr="00A17DB2">
        <w:t xml:space="preserve">Each </w:t>
      </w:r>
      <w:r>
        <w:t>Participant</w:t>
      </w:r>
      <w:r w:rsidRPr="00A17DB2">
        <w:t xml:space="preserve"> must promptly notify the lead controller if:</w:t>
      </w:r>
    </w:p>
    <w:p w14:paraId="3BCB8F8B" w14:textId="77777777" w:rsidR="00950E97" w:rsidRPr="00A17DB2" w:rsidRDefault="00950E97" w:rsidP="00950E97">
      <w:pPr>
        <w:pStyle w:val="ListParagraph"/>
        <w:numPr>
          <w:ilvl w:val="2"/>
          <w:numId w:val="27"/>
        </w:numPr>
        <w:spacing w:after="120"/>
      </w:pPr>
      <w:r w:rsidRPr="00A17DB2">
        <w:t>it becomes the subject of any ICO investigation, financial penalty, enforcement action or has to give an undertaking to ICO (“ICO Dealing”); or</w:t>
      </w:r>
    </w:p>
    <w:p w14:paraId="0B4E8D42" w14:textId="77777777" w:rsidR="00950E97" w:rsidRPr="00A17DB2" w:rsidRDefault="00950E97" w:rsidP="00950E97">
      <w:pPr>
        <w:pStyle w:val="ListParagraph"/>
        <w:numPr>
          <w:ilvl w:val="2"/>
          <w:numId w:val="27"/>
        </w:numPr>
        <w:spacing w:after="120"/>
      </w:pPr>
      <w:r>
        <w:t xml:space="preserve">it becomes aware of </w:t>
      </w:r>
      <w:r w:rsidRPr="00A17DB2">
        <w:t>a breach of security</w:t>
      </w:r>
      <w:r>
        <w:t xml:space="preserve"> </w:t>
      </w:r>
      <w:r w:rsidRPr="00A17DB2">
        <w:t>(in which case, such notification to be no later than 24 hours from first becoming aware)</w:t>
      </w:r>
    </w:p>
    <w:p w14:paraId="5F8DD492" w14:textId="77777777" w:rsidR="00950E97" w:rsidRPr="00A17DB2" w:rsidRDefault="00950E97" w:rsidP="00950E97">
      <w:pPr>
        <w:ind w:left="720"/>
      </w:pPr>
      <w:r w:rsidRPr="00A17DB2">
        <w:t xml:space="preserve">other than in circumstances where the </w:t>
      </w:r>
      <w:r>
        <w:t>Participant</w:t>
      </w:r>
      <w:r w:rsidRPr="00A17DB2">
        <w:t xml:space="preserve"> is confident that such ICO Dealing, or breach of security does not have any impact on the GMCR and/or the data held on the GMCR Solution of these Rules of Engagement. For the purpose of this section, a breach of security means the occurrence of: (a) any unauthorised access to or use of the </w:t>
      </w:r>
      <w:r>
        <w:lastRenderedPageBreak/>
        <w:t>Participant</w:t>
      </w:r>
      <w:r w:rsidRPr="00A17DB2">
        <w:t>’s services, system and/or any information or data; (b) the loss (physical or otherwise) and/or unauthorised disclosure of any information or data.</w:t>
      </w:r>
    </w:p>
    <w:p w14:paraId="5F20DCB3" w14:textId="77777777" w:rsidR="00950E97" w:rsidRPr="00A17DB2" w:rsidRDefault="00950E97" w:rsidP="00950E97">
      <w:pPr>
        <w:pStyle w:val="ListParagraph"/>
        <w:numPr>
          <w:ilvl w:val="1"/>
          <w:numId w:val="27"/>
        </w:numPr>
        <w:spacing w:after="120"/>
      </w:pPr>
      <w:r w:rsidRPr="00A17DB2">
        <w:t xml:space="preserve">Each </w:t>
      </w:r>
      <w:r>
        <w:t>Participant</w:t>
      </w:r>
      <w:r w:rsidRPr="00A17DB2">
        <w:t xml:space="preserve"> acknowledges that the lead controller and other </w:t>
      </w:r>
      <w:r>
        <w:t>Participant</w:t>
      </w:r>
      <w:r w:rsidRPr="00A17DB2">
        <w:t xml:space="preserve">s will not get involved in disputes between a </w:t>
      </w:r>
      <w:r>
        <w:t>Participant</w:t>
      </w:r>
      <w:r w:rsidRPr="00A17DB2">
        <w:t xml:space="preserve"> and data subjects unless this impacts on the GMCR Solution.  If that happens, the lead controller shall be entitled to suspend processing of the data in question and pass back to the relevant </w:t>
      </w:r>
      <w:r>
        <w:t>Participant</w:t>
      </w:r>
      <w:r w:rsidRPr="00A17DB2">
        <w:t xml:space="preserve"> for resolution.</w:t>
      </w:r>
    </w:p>
    <w:p w14:paraId="0ABF9BF1" w14:textId="77777777" w:rsidR="00950E97" w:rsidRPr="00A17DB2" w:rsidRDefault="00950E97" w:rsidP="00950E97">
      <w:pPr>
        <w:pStyle w:val="ListParagraph"/>
        <w:numPr>
          <w:ilvl w:val="1"/>
          <w:numId w:val="27"/>
        </w:numPr>
        <w:spacing w:after="120"/>
      </w:pPr>
      <w:r w:rsidRPr="00A17DB2">
        <w:t xml:space="preserve">Each </w:t>
      </w:r>
      <w:r>
        <w:t>Participant</w:t>
      </w:r>
      <w:r w:rsidRPr="00A17DB2">
        <w:t xml:space="preserve"> also acknowledges that the lead controller will not get involved in disputes between </w:t>
      </w:r>
      <w:r>
        <w:t>Participant</w:t>
      </w:r>
      <w:r w:rsidRPr="00A17DB2">
        <w:t xml:space="preserve">s.  However, it is each </w:t>
      </w:r>
      <w:r>
        <w:t>Participant</w:t>
      </w:r>
      <w:r w:rsidRPr="00A17DB2">
        <w:t xml:space="preserve">’s responsibility to notify the lead controller if there is a dispute regarding the use of records held in the GMCR Solution, so it is aware of the issue. The lead controller shall also be entitled (upon receipt of written request of any of the parties in dispute, advising the lead controller of the dispute and the particular data in question) to suspend processing of the data in question and to keep the other </w:t>
      </w:r>
      <w:r>
        <w:t>Participant</w:t>
      </w:r>
      <w:r w:rsidRPr="00A17DB2">
        <w:t>s informed of the dispute.</w:t>
      </w:r>
    </w:p>
    <w:p w14:paraId="73CE2904" w14:textId="77777777" w:rsidR="00950E97" w:rsidRPr="00A17DB2" w:rsidRDefault="00950E97" w:rsidP="00950E97">
      <w:pPr>
        <w:pStyle w:val="ListParagraph"/>
        <w:numPr>
          <w:ilvl w:val="1"/>
          <w:numId w:val="27"/>
        </w:numPr>
        <w:spacing w:after="120"/>
      </w:pPr>
      <w:r w:rsidRPr="00A17DB2">
        <w:t xml:space="preserve">Each </w:t>
      </w:r>
      <w:r>
        <w:t>Participant</w:t>
      </w:r>
      <w:r w:rsidRPr="00A17DB2">
        <w:t xml:space="preserve"> acknowledges that, </w:t>
      </w:r>
      <w:bookmarkStart w:id="66" w:name="_Hlk75784424"/>
      <w:r w:rsidRPr="00A17DB2">
        <w:t>if there are any claims relating to the GMCR Solution including any breach of security</w:t>
      </w:r>
      <w:r>
        <w:t xml:space="preserve"> </w:t>
      </w:r>
      <w:r w:rsidRPr="00A17DB2">
        <w:t xml:space="preserve">regarding the </w:t>
      </w:r>
      <w:r>
        <w:t xml:space="preserve">GMCR or the </w:t>
      </w:r>
      <w:r w:rsidRPr="00A17DB2">
        <w:t>data held in the GMCR Solution, the lead controller:</w:t>
      </w:r>
    </w:p>
    <w:p w14:paraId="47086EB2" w14:textId="77777777" w:rsidR="00950E97" w:rsidRPr="00A17DB2" w:rsidRDefault="00950E97" w:rsidP="00950E97">
      <w:pPr>
        <w:pStyle w:val="ListParagraph"/>
        <w:numPr>
          <w:ilvl w:val="2"/>
          <w:numId w:val="27"/>
        </w:numPr>
        <w:spacing w:after="120"/>
      </w:pPr>
      <w:r w:rsidRPr="00A17DB2">
        <w:t xml:space="preserve">will investigate and consult with the relevant </w:t>
      </w:r>
      <w:r>
        <w:t>Participant</w:t>
      </w:r>
      <w:r w:rsidRPr="00A17DB2">
        <w:t xml:space="preserve">(s) but ultimately has the right to determine in compliance with all laws how to handle it, including whether it needs to be reported to the ICO and/or data subjects should be notified. This is without prejudice to the </w:t>
      </w:r>
      <w:r>
        <w:t>Participant</w:t>
      </w:r>
      <w:r w:rsidRPr="00A17DB2">
        <w:t xml:space="preserve">’s own ability to notify the regulator where it believes it has suffered a </w:t>
      </w:r>
      <w:r>
        <w:t xml:space="preserve">breach of </w:t>
      </w:r>
      <w:r w:rsidRPr="00A17DB2">
        <w:t>security.</w:t>
      </w:r>
    </w:p>
    <w:bookmarkEnd w:id="66"/>
    <w:p w14:paraId="298B8067" w14:textId="169DE280" w:rsidR="00950E97" w:rsidRPr="00A17DB2" w:rsidRDefault="00950E97" w:rsidP="00950E97">
      <w:pPr>
        <w:pStyle w:val="ListParagraph"/>
        <w:numPr>
          <w:ilvl w:val="1"/>
          <w:numId w:val="27"/>
        </w:numPr>
        <w:spacing w:after="120"/>
        <w:sectPr w:rsidR="00950E97" w:rsidRPr="00A17DB2" w:rsidSect="005577F0">
          <w:headerReference w:type="default" r:id="rId22"/>
          <w:footerReference w:type="default" r:id="rId23"/>
          <w:pgSz w:w="11907" w:h="16840"/>
          <w:pgMar w:top="1361" w:right="1020" w:bottom="1361" w:left="1361" w:header="720" w:footer="720" w:gutter="0"/>
          <w:cols w:space="720"/>
        </w:sectPr>
      </w:pPr>
      <w:r w:rsidRPr="00A17DB2">
        <w:t xml:space="preserve">Each </w:t>
      </w:r>
      <w:r>
        <w:t>Participant</w:t>
      </w:r>
      <w:r w:rsidRPr="00A17DB2">
        <w:t xml:space="preserve"> acknowledges that, ultimately, </w:t>
      </w:r>
      <w:r>
        <w:t xml:space="preserve">in the event of a serious breach or repeated non-compliance with these Rules of Engagement, </w:t>
      </w:r>
      <w:r w:rsidRPr="00A17DB2">
        <w:t xml:space="preserve">the lead controller has the right to determine whether to remove </w:t>
      </w:r>
      <w:r>
        <w:t>Participant</w:t>
      </w:r>
      <w:r w:rsidRPr="00A17DB2">
        <w:t>s from accessing and/or contributing to the GMCR Solution</w:t>
      </w:r>
      <w:r>
        <w:t>. T</w:t>
      </w:r>
      <w:r w:rsidRPr="00A17DB2">
        <w:t xml:space="preserve">he lead controller is </w:t>
      </w:r>
      <w:r>
        <w:t xml:space="preserve">also </w:t>
      </w:r>
      <w:r w:rsidRPr="00A17DB2">
        <w:t xml:space="preserve">entitled to temporarily suspend the </w:t>
      </w:r>
      <w:r>
        <w:t>Participant</w:t>
      </w:r>
      <w:r w:rsidRPr="00A17DB2">
        <w:t xml:space="preserve">’s use of the GMCR Solution whilst it conducts its investigations into any particular matter.  However, the lead controller will always afford a </w:t>
      </w:r>
      <w:r>
        <w:t>Participant</w:t>
      </w:r>
      <w:r w:rsidRPr="00A17DB2">
        <w:t xml:space="preserve"> the opportunity to make representations as to why the lead controller should not remove the </w:t>
      </w:r>
      <w:r>
        <w:t>Participant</w:t>
      </w:r>
      <w:r w:rsidRPr="00A17DB2">
        <w:t xml:space="preserve"> from accessing and/or contributing to the GMCR Solution and will give due consideration to any explanations, reasons and/or mitigations offered by the </w:t>
      </w:r>
      <w:r>
        <w:t>Participant</w:t>
      </w:r>
      <w:r w:rsidRPr="00A17DB2">
        <w:t xml:space="preserve">.  The lead controller shall be free to seek any other </w:t>
      </w:r>
      <w:r>
        <w:t>Participant</w:t>
      </w:r>
      <w:r w:rsidRPr="00A17DB2">
        <w:t xml:space="preserve">’s views before coming to a determination and may conclude that minor infringements may be fixed with more training or that more complex issues may need to be assessed by a governance board first. </w:t>
      </w:r>
    </w:p>
    <w:p w14:paraId="4875B2E8" w14:textId="707A489D" w:rsidR="00CF1C55" w:rsidRDefault="00CF1C55" w:rsidP="00950E97">
      <w:pPr>
        <w:pStyle w:val="ListParagraph"/>
        <w:numPr>
          <w:ilvl w:val="1"/>
          <w:numId w:val="31"/>
        </w:numPr>
        <w:suppressAutoHyphens w:val="0"/>
        <w:overflowPunct/>
        <w:autoSpaceDE/>
        <w:autoSpaceDN/>
        <w:spacing w:after="120"/>
        <w:jc w:val="left"/>
        <w:textAlignment w:val="auto"/>
        <w:sectPr w:rsidR="00CF1C55">
          <w:pgSz w:w="11907" w:h="16840"/>
          <w:pgMar w:top="1361" w:right="1020" w:bottom="1361" w:left="1361" w:header="720" w:footer="720" w:gutter="0"/>
          <w:cols w:space="720"/>
        </w:sectPr>
      </w:pPr>
    </w:p>
    <w:p w14:paraId="272E64DB" w14:textId="02198166" w:rsidR="00BA42A8" w:rsidRDefault="00D70988" w:rsidP="00B76878">
      <w:pPr>
        <w:pStyle w:val="Heading1"/>
        <w:keepNext w:val="0"/>
        <w:widowControl w:val="0"/>
        <w:suppressAutoHyphens w:val="0"/>
        <w:spacing w:after="0" w:line="252" w:lineRule="auto"/>
      </w:pPr>
      <w:bookmarkStart w:id="67" w:name="_Toc153880806"/>
      <w:r>
        <w:rPr>
          <w:szCs w:val="22"/>
        </w:rPr>
        <w:lastRenderedPageBreak/>
        <w:t xml:space="preserve">Appendix </w:t>
      </w:r>
      <w:r w:rsidR="00DD0B26">
        <w:rPr>
          <w:szCs w:val="22"/>
        </w:rPr>
        <w:t>D</w:t>
      </w:r>
      <w:r>
        <w:rPr>
          <w:szCs w:val="22"/>
        </w:rPr>
        <w:t xml:space="preserve"> – </w:t>
      </w:r>
      <w:bookmarkEnd w:id="60"/>
      <w:r w:rsidR="00002668">
        <w:rPr>
          <w:szCs w:val="22"/>
        </w:rPr>
        <w:t xml:space="preserve">Form of </w:t>
      </w:r>
      <w:r w:rsidR="00B7430C">
        <w:rPr>
          <w:szCs w:val="22"/>
        </w:rPr>
        <w:t>j</w:t>
      </w:r>
      <w:r w:rsidR="00002668">
        <w:rPr>
          <w:szCs w:val="22"/>
        </w:rPr>
        <w:t xml:space="preserve">oining </w:t>
      </w:r>
      <w:r w:rsidR="00B7430C">
        <w:rPr>
          <w:szCs w:val="22"/>
        </w:rPr>
        <w:t>a</w:t>
      </w:r>
      <w:r w:rsidR="00002668">
        <w:rPr>
          <w:szCs w:val="22"/>
        </w:rPr>
        <w:t>ddendum</w:t>
      </w:r>
      <w:bookmarkEnd w:id="67"/>
    </w:p>
    <w:p w14:paraId="3C2A9D56" w14:textId="77777777" w:rsidR="004E25DE" w:rsidRDefault="004E25DE" w:rsidP="00B76878">
      <w:pPr>
        <w:pStyle w:val="Level2"/>
        <w:keepNext w:val="0"/>
        <w:widowControl w:val="0"/>
        <w:suppressAutoHyphens w:val="0"/>
        <w:spacing w:line="252" w:lineRule="auto"/>
      </w:pPr>
      <w:bookmarkStart w:id="68" w:name="_Toc89094130"/>
    </w:p>
    <w:p w14:paraId="1DA7905A" w14:textId="77777777" w:rsidR="004E25DE" w:rsidRDefault="004E25DE" w:rsidP="00B76878">
      <w:pPr>
        <w:widowControl w:val="0"/>
        <w:suppressAutoHyphens w:val="0"/>
        <w:spacing w:line="252" w:lineRule="auto"/>
        <w:rPr>
          <w:lang w:val="en-US"/>
        </w:rPr>
      </w:pPr>
    </w:p>
    <w:tbl>
      <w:tblPr>
        <w:tblStyle w:val="TableGrid"/>
        <w:tblW w:w="0" w:type="auto"/>
        <w:tblLook w:val="04A0" w:firstRow="1" w:lastRow="0" w:firstColumn="1" w:lastColumn="0" w:noHBand="0" w:noVBand="1"/>
      </w:tblPr>
      <w:tblGrid>
        <w:gridCol w:w="1838"/>
        <w:gridCol w:w="7178"/>
      </w:tblGrid>
      <w:tr w:rsidR="004E25DE" w14:paraId="2712C29F" w14:textId="77777777" w:rsidTr="00670133">
        <w:tc>
          <w:tcPr>
            <w:tcW w:w="1838" w:type="dxa"/>
          </w:tcPr>
          <w:p w14:paraId="570836CE" w14:textId="77777777" w:rsidR="008B6F4E" w:rsidRDefault="004E25DE" w:rsidP="00B76878">
            <w:pPr>
              <w:widowControl w:val="0"/>
              <w:suppressAutoHyphens w:val="0"/>
              <w:spacing w:line="252" w:lineRule="auto"/>
              <w:rPr>
                <w:lang w:val="en-US"/>
              </w:rPr>
            </w:pPr>
            <w:r>
              <w:rPr>
                <w:lang w:val="en-US"/>
              </w:rPr>
              <w:t xml:space="preserve">Name of </w:t>
            </w:r>
          </w:p>
          <w:p w14:paraId="405996A6" w14:textId="5F303258" w:rsidR="004E25DE" w:rsidRDefault="004E25DE" w:rsidP="00B76878">
            <w:pPr>
              <w:widowControl w:val="0"/>
              <w:suppressAutoHyphens w:val="0"/>
              <w:spacing w:line="252" w:lineRule="auto"/>
              <w:rPr>
                <w:lang w:val="en-US"/>
              </w:rPr>
            </w:pPr>
            <w:r>
              <w:rPr>
                <w:lang w:val="en-US"/>
              </w:rPr>
              <w:t>Authorised User</w:t>
            </w:r>
          </w:p>
        </w:tc>
        <w:tc>
          <w:tcPr>
            <w:tcW w:w="7178" w:type="dxa"/>
          </w:tcPr>
          <w:p w14:paraId="47F542DC" w14:textId="2C1AFC07" w:rsidR="004E25DE" w:rsidRDefault="004E25DE" w:rsidP="00B76878">
            <w:pPr>
              <w:widowControl w:val="0"/>
              <w:suppressAutoHyphens w:val="0"/>
              <w:spacing w:line="252" w:lineRule="auto"/>
              <w:rPr>
                <w:lang w:val="en-US"/>
              </w:rPr>
            </w:pPr>
          </w:p>
        </w:tc>
      </w:tr>
      <w:tr w:rsidR="00410CFF" w14:paraId="3C2D3586" w14:textId="77777777" w:rsidTr="00670133">
        <w:tc>
          <w:tcPr>
            <w:tcW w:w="1838" w:type="dxa"/>
          </w:tcPr>
          <w:p w14:paraId="21BCB79E" w14:textId="74B26E61" w:rsidR="00410CFF" w:rsidRDefault="00410CFF" w:rsidP="00B76878">
            <w:pPr>
              <w:widowControl w:val="0"/>
              <w:suppressAutoHyphens w:val="0"/>
              <w:spacing w:line="252" w:lineRule="auto"/>
              <w:rPr>
                <w:lang w:val="en-US"/>
              </w:rPr>
            </w:pPr>
            <w:r w:rsidRPr="00410CFF">
              <w:rPr>
                <w:lang w:val="en-US"/>
              </w:rPr>
              <w:t>Commissione</w:t>
            </w:r>
            <w:r>
              <w:rPr>
                <w:lang w:val="en-US"/>
              </w:rPr>
              <w:t>r</w:t>
            </w:r>
          </w:p>
        </w:tc>
        <w:tc>
          <w:tcPr>
            <w:tcW w:w="7178" w:type="dxa"/>
          </w:tcPr>
          <w:p w14:paraId="5FDCFEF0" w14:textId="224369B1" w:rsidR="00410CFF" w:rsidRDefault="00410CFF" w:rsidP="00B76878">
            <w:pPr>
              <w:widowControl w:val="0"/>
              <w:suppressAutoHyphens w:val="0"/>
              <w:spacing w:line="252" w:lineRule="auto"/>
              <w:rPr>
                <w:lang w:val="en-US"/>
              </w:rPr>
            </w:pPr>
          </w:p>
        </w:tc>
      </w:tr>
      <w:tr w:rsidR="004E25DE" w14:paraId="4C1655AC" w14:textId="77777777" w:rsidTr="00670133">
        <w:tc>
          <w:tcPr>
            <w:tcW w:w="1838" w:type="dxa"/>
          </w:tcPr>
          <w:p w14:paraId="15C1194B" w14:textId="77777777" w:rsidR="004E25DE" w:rsidRDefault="004E25DE" w:rsidP="00B76878">
            <w:pPr>
              <w:widowControl w:val="0"/>
              <w:suppressAutoHyphens w:val="0"/>
              <w:spacing w:line="252" w:lineRule="auto"/>
              <w:rPr>
                <w:lang w:val="en-US"/>
              </w:rPr>
            </w:pPr>
            <w:r>
              <w:rPr>
                <w:lang w:val="en-US"/>
              </w:rPr>
              <w:t>Purpose of the Access</w:t>
            </w:r>
          </w:p>
        </w:tc>
        <w:tc>
          <w:tcPr>
            <w:tcW w:w="7178" w:type="dxa"/>
          </w:tcPr>
          <w:p w14:paraId="2BF40952" w14:textId="2C149168" w:rsidR="004E25DE" w:rsidRDefault="004E25DE" w:rsidP="00B76878">
            <w:pPr>
              <w:widowControl w:val="0"/>
              <w:suppressAutoHyphens w:val="0"/>
              <w:spacing w:line="252" w:lineRule="auto"/>
              <w:rPr>
                <w:lang w:val="en-US"/>
              </w:rPr>
            </w:pPr>
          </w:p>
        </w:tc>
      </w:tr>
      <w:tr w:rsidR="00DB5913" w14:paraId="2DB97515" w14:textId="77777777" w:rsidTr="00670133">
        <w:tc>
          <w:tcPr>
            <w:tcW w:w="1838" w:type="dxa"/>
          </w:tcPr>
          <w:p w14:paraId="5E889ED8" w14:textId="75FD01CA" w:rsidR="00DB5913" w:rsidRDefault="00DB5913" w:rsidP="00B76878">
            <w:pPr>
              <w:widowControl w:val="0"/>
              <w:suppressAutoHyphens w:val="0"/>
              <w:spacing w:line="252" w:lineRule="auto"/>
              <w:rPr>
                <w:lang w:val="en-US"/>
              </w:rPr>
            </w:pPr>
            <w:r>
              <w:rPr>
                <w:lang w:val="en-US"/>
              </w:rPr>
              <w:t>Access required</w:t>
            </w:r>
          </w:p>
        </w:tc>
        <w:tc>
          <w:tcPr>
            <w:tcW w:w="7178" w:type="dxa"/>
          </w:tcPr>
          <w:p w14:paraId="3A42BF80" w14:textId="77777777" w:rsidR="00DB5913" w:rsidRDefault="00DB5913" w:rsidP="00B76878">
            <w:pPr>
              <w:widowControl w:val="0"/>
              <w:suppressAutoHyphens w:val="0"/>
              <w:spacing w:line="252" w:lineRule="auto"/>
              <w:rPr>
                <w:lang w:val="en-US"/>
              </w:rPr>
            </w:pPr>
          </w:p>
        </w:tc>
      </w:tr>
      <w:tr w:rsidR="00C62DAB" w14:paraId="7B952246" w14:textId="77777777" w:rsidTr="00670133">
        <w:tc>
          <w:tcPr>
            <w:tcW w:w="1838" w:type="dxa"/>
          </w:tcPr>
          <w:p w14:paraId="2AD43AF8" w14:textId="14A76E9F" w:rsidR="00C62DAB" w:rsidRDefault="00C62DAB" w:rsidP="00B76878">
            <w:pPr>
              <w:widowControl w:val="0"/>
              <w:suppressAutoHyphens w:val="0"/>
              <w:spacing w:line="252" w:lineRule="auto"/>
              <w:rPr>
                <w:lang w:val="en-US"/>
              </w:rPr>
            </w:pPr>
            <w:r>
              <w:rPr>
                <w:lang w:val="en-US"/>
              </w:rPr>
              <w:t>Approx no. of users</w:t>
            </w:r>
          </w:p>
        </w:tc>
        <w:tc>
          <w:tcPr>
            <w:tcW w:w="7178" w:type="dxa"/>
          </w:tcPr>
          <w:p w14:paraId="2AE7041A" w14:textId="77777777" w:rsidR="00C62DAB" w:rsidRDefault="00C62DAB" w:rsidP="00B76878">
            <w:pPr>
              <w:widowControl w:val="0"/>
              <w:suppressAutoHyphens w:val="0"/>
              <w:spacing w:line="252" w:lineRule="auto"/>
              <w:rPr>
                <w:lang w:val="en-US"/>
              </w:rPr>
            </w:pPr>
          </w:p>
        </w:tc>
      </w:tr>
      <w:tr w:rsidR="004E25DE" w14:paraId="532928E4" w14:textId="77777777" w:rsidTr="00670133">
        <w:tc>
          <w:tcPr>
            <w:tcW w:w="1838" w:type="dxa"/>
          </w:tcPr>
          <w:p w14:paraId="3263A8C9" w14:textId="77777777" w:rsidR="004E25DE" w:rsidRDefault="004E25DE" w:rsidP="00B76878">
            <w:pPr>
              <w:widowControl w:val="0"/>
              <w:suppressAutoHyphens w:val="0"/>
              <w:spacing w:line="252" w:lineRule="auto"/>
              <w:rPr>
                <w:lang w:val="en-US"/>
              </w:rPr>
            </w:pPr>
            <w:r>
              <w:rPr>
                <w:lang w:val="en-US"/>
              </w:rPr>
              <w:t>ICO Registration</w:t>
            </w:r>
          </w:p>
        </w:tc>
        <w:tc>
          <w:tcPr>
            <w:tcW w:w="7178" w:type="dxa"/>
          </w:tcPr>
          <w:p w14:paraId="344EEEBA" w14:textId="77777777" w:rsidR="004E25DE" w:rsidRDefault="004E25DE" w:rsidP="00B76878">
            <w:pPr>
              <w:widowControl w:val="0"/>
              <w:suppressAutoHyphens w:val="0"/>
              <w:spacing w:line="252" w:lineRule="auto"/>
              <w:rPr>
                <w:lang w:val="en-US"/>
              </w:rPr>
            </w:pPr>
          </w:p>
        </w:tc>
      </w:tr>
      <w:tr w:rsidR="004E25DE" w14:paraId="03A0EF2A" w14:textId="77777777" w:rsidTr="00670133">
        <w:tc>
          <w:tcPr>
            <w:tcW w:w="1838" w:type="dxa"/>
          </w:tcPr>
          <w:p w14:paraId="6D128C11" w14:textId="07317A64" w:rsidR="004E25DE" w:rsidRDefault="009A6B50" w:rsidP="00B76878">
            <w:pPr>
              <w:widowControl w:val="0"/>
              <w:suppressAutoHyphens w:val="0"/>
              <w:spacing w:line="252" w:lineRule="auto"/>
              <w:rPr>
                <w:lang w:val="en-US"/>
              </w:rPr>
            </w:pPr>
            <w:r>
              <w:rPr>
                <w:lang w:val="en-US"/>
              </w:rPr>
              <w:t>DSP</w:t>
            </w:r>
            <w:r w:rsidR="00F4765C">
              <w:rPr>
                <w:lang w:val="en-US"/>
              </w:rPr>
              <w:t xml:space="preserve"> </w:t>
            </w:r>
            <w:r w:rsidR="004E25DE">
              <w:rPr>
                <w:lang w:val="en-US"/>
              </w:rPr>
              <w:t>Toolkit</w:t>
            </w:r>
          </w:p>
        </w:tc>
        <w:tc>
          <w:tcPr>
            <w:tcW w:w="7178" w:type="dxa"/>
          </w:tcPr>
          <w:p w14:paraId="7B944ED3" w14:textId="77777777" w:rsidR="004E25DE" w:rsidRDefault="004E25DE" w:rsidP="00B76878">
            <w:pPr>
              <w:widowControl w:val="0"/>
              <w:suppressAutoHyphens w:val="0"/>
              <w:spacing w:line="252" w:lineRule="auto"/>
              <w:rPr>
                <w:lang w:val="en-US"/>
              </w:rPr>
            </w:pPr>
          </w:p>
        </w:tc>
      </w:tr>
      <w:tr w:rsidR="004E25DE" w14:paraId="2FBCB65C" w14:textId="77777777" w:rsidTr="00670133">
        <w:tc>
          <w:tcPr>
            <w:tcW w:w="1838" w:type="dxa"/>
          </w:tcPr>
          <w:p w14:paraId="26F69908" w14:textId="77777777" w:rsidR="008B6F4E" w:rsidRDefault="004E25DE" w:rsidP="00B76878">
            <w:pPr>
              <w:widowControl w:val="0"/>
              <w:suppressAutoHyphens w:val="0"/>
              <w:spacing w:line="252" w:lineRule="auto"/>
              <w:rPr>
                <w:lang w:val="en-US"/>
              </w:rPr>
            </w:pPr>
            <w:r>
              <w:rPr>
                <w:lang w:val="en-US"/>
              </w:rPr>
              <w:t xml:space="preserve">Start Date of </w:t>
            </w:r>
          </w:p>
          <w:p w14:paraId="5003D122" w14:textId="712B58B2" w:rsidR="004E25DE" w:rsidRDefault="004E25DE" w:rsidP="00B76878">
            <w:pPr>
              <w:widowControl w:val="0"/>
              <w:suppressAutoHyphens w:val="0"/>
              <w:spacing w:line="252" w:lineRule="auto"/>
              <w:rPr>
                <w:lang w:val="en-US"/>
              </w:rPr>
            </w:pPr>
            <w:r>
              <w:rPr>
                <w:lang w:val="en-US"/>
              </w:rPr>
              <w:t>Access</w:t>
            </w:r>
          </w:p>
        </w:tc>
        <w:tc>
          <w:tcPr>
            <w:tcW w:w="7178" w:type="dxa"/>
          </w:tcPr>
          <w:p w14:paraId="3D7AEC01" w14:textId="77777777" w:rsidR="004E25DE" w:rsidRDefault="004E25DE" w:rsidP="00B76878">
            <w:pPr>
              <w:widowControl w:val="0"/>
              <w:suppressAutoHyphens w:val="0"/>
              <w:spacing w:line="252" w:lineRule="auto"/>
              <w:rPr>
                <w:lang w:val="en-US"/>
              </w:rPr>
            </w:pPr>
          </w:p>
        </w:tc>
      </w:tr>
      <w:tr w:rsidR="004E25DE" w14:paraId="458118E0" w14:textId="77777777" w:rsidTr="00670133">
        <w:tc>
          <w:tcPr>
            <w:tcW w:w="1838" w:type="dxa"/>
          </w:tcPr>
          <w:p w14:paraId="4D636A53" w14:textId="77777777" w:rsidR="008B6F4E" w:rsidRDefault="004E25DE" w:rsidP="00B76878">
            <w:pPr>
              <w:widowControl w:val="0"/>
              <w:suppressAutoHyphens w:val="0"/>
              <w:spacing w:line="252" w:lineRule="auto"/>
              <w:rPr>
                <w:lang w:val="en-US"/>
              </w:rPr>
            </w:pPr>
            <w:r>
              <w:rPr>
                <w:lang w:val="en-US"/>
              </w:rPr>
              <w:t xml:space="preserve">End Date of </w:t>
            </w:r>
          </w:p>
          <w:p w14:paraId="75ACB2A6" w14:textId="5D597ED4" w:rsidR="004E25DE" w:rsidRDefault="004E25DE" w:rsidP="00B76878">
            <w:pPr>
              <w:widowControl w:val="0"/>
              <w:suppressAutoHyphens w:val="0"/>
              <w:spacing w:line="252" w:lineRule="auto"/>
              <w:rPr>
                <w:lang w:val="en-US"/>
              </w:rPr>
            </w:pPr>
            <w:r>
              <w:rPr>
                <w:lang w:val="en-US"/>
              </w:rPr>
              <w:t>Access</w:t>
            </w:r>
          </w:p>
        </w:tc>
        <w:tc>
          <w:tcPr>
            <w:tcW w:w="7178" w:type="dxa"/>
          </w:tcPr>
          <w:p w14:paraId="7D4E723A" w14:textId="77777777" w:rsidR="004E25DE" w:rsidRDefault="004E25DE" w:rsidP="00B76878">
            <w:pPr>
              <w:widowControl w:val="0"/>
              <w:suppressAutoHyphens w:val="0"/>
              <w:spacing w:line="252" w:lineRule="auto"/>
              <w:rPr>
                <w:lang w:val="en-US"/>
              </w:rPr>
            </w:pPr>
          </w:p>
        </w:tc>
      </w:tr>
      <w:tr w:rsidR="004E25DE" w14:paraId="566FD75E" w14:textId="77777777" w:rsidTr="00670133">
        <w:tc>
          <w:tcPr>
            <w:tcW w:w="1838" w:type="dxa"/>
          </w:tcPr>
          <w:p w14:paraId="04A42252" w14:textId="46A84B22" w:rsidR="004E25DE" w:rsidRDefault="004E25DE" w:rsidP="00B76878">
            <w:pPr>
              <w:widowControl w:val="0"/>
              <w:suppressAutoHyphens w:val="0"/>
              <w:spacing w:line="252" w:lineRule="auto"/>
              <w:rPr>
                <w:lang w:val="en-US"/>
              </w:rPr>
            </w:pPr>
            <w:r>
              <w:rPr>
                <w:lang w:val="en-US"/>
              </w:rPr>
              <w:t>IG Contact</w:t>
            </w:r>
            <w:r w:rsidR="009E5BAD">
              <w:rPr>
                <w:lang w:val="en-US"/>
              </w:rPr>
              <w:t xml:space="preserve"> and/or DPO</w:t>
            </w:r>
          </w:p>
        </w:tc>
        <w:tc>
          <w:tcPr>
            <w:tcW w:w="7178" w:type="dxa"/>
          </w:tcPr>
          <w:p w14:paraId="27C54835" w14:textId="77777777" w:rsidR="004E25DE" w:rsidRDefault="004E25DE" w:rsidP="00B76878">
            <w:pPr>
              <w:widowControl w:val="0"/>
              <w:suppressAutoHyphens w:val="0"/>
              <w:spacing w:line="252" w:lineRule="auto"/>
              <w:rPr>
                <w:lang w:val="en-US"/>
              </w:rPr>
            </w:pPr>
          </w:p>
        </w:tc>
      </w:tr>
      <w:tr w:rsidR="004E25DE" w14:paraId="34C3D00C" w14:textId="77777777" w:rsidTr="00670133">
        <w:tc>
          <w:tcPr>
            <w:tcW w:w="1838" w:type="dxa"/>
          </w:tcPr>
          <w:p w14:paraId="1BA6213E" w14:textId="77777777" w:rsidR="004E25DE" w:rsidRDefault="004E25DE" w:rsidP="00B76878">
            <w:pPr>
              <w:widowControl w:val="0"/>
              <w:suppressAutoHyphens w:val="0"/>
              <w:spacing w:line="252" w:lineRule="auto"/>
              <w:rPr>
                <w:lang w:val="en-US"/>
              </w:rPr>
            </w:pPr>
            <w:r>
              <w:rPr>
                <w:lang w:val="en-US"/>
              </w:rPr>
              <w:t>Caldicott Guardian</w:t>
            </w:r>
          </w:p>
        </w:tc>
        <w:tc>
          <w:tcPr>
            <w:tcW w:w="7178" w:type="dxa"/>
          </w:tcPr>
          <w:p w14:paraId="4F56172C" w14:textId="77777777" w:rsidR="004E25DE" w:rsidRDefault="004E25DE" w:rsidP="00B76878">
            <w:pPr>
              <w:widowControl w:val="0"/>
              <w:suppressAutoHyphens w:val="0"/>
              <w:spacing w:line="252" w:lineRule="auto"/>
              <w:rPr>
                <w:lang w:val="en-US"/>
              </w:rPr>
            </w:pPr>
          </w:p>
        </w:tc>
      </w:tr>
      <w:tr w:rsidR="004E25DE" w14:paraId="19BF8C71" w14:textId="77777777" w:rsidTr="00670133">
        <w:tc>
          <w:tcPr>
            <w:tcW w:w="1838" w:type="dxa"/>
          </w:tcPr>
          <w:p w14:paraId="571126C3" w14:textId="77777777" w:rsidR="004E25DE" w:rsidRDefault="004E25DE" w:rsidP="00B76878">
            <w:pPr>
              <w:widowControl w:val="0"/>
              <w:suppressAutoHyphens w:val="0"/>
              <w:spacing w:line="252" w:lineRule="auto"/>
              <w:rPr>
                <w:lang w:val="en-US"/>
              </w:rPr>
            </w:pPr>
            <w:r>
              <w:rPr>
                <w:lang w:val="en-US"/>
              </w:rPr>
              <w:t>SIRO Contact</w:t>
            </w:r>
          </w:p>
        </w:tc>
        <w:tc>
          <w:tcPr>
            <w:tcW w:w="7178" w:type="dxa"/>
          </w:tcPr>
          <w:p w14:paraId="4808EED7" w14:textId="77777777" w:rsidR="004E25DE" w:rsidRDefault="004E25DE" w:rsidP="00B76878">
            <w:pPr>
              <w:widowControl w:val="0"/>
              <w:suppressAutoHyphens w:val="0"/>
              <w:spacing w:line="252" w:lineRule="auto"/>
              <w:rPr>
                <w:lang w:val="en-US"/>
              </w:rPr>
            </w:pPr>
          </w:p>
        </w:tc>
      </w:tr>
      <w:tr w:rsidR="004E25DE" w14:paraId="2378BF7F" w14:textId="77777777" w:rsidTr="00670133">
        <w:tc>
          <w:tcPr>
            <w:tcW w:w="1838" w:type="dxa"/>
          </w:tcPr>
          <w:p w14:paraId="647B98D3" w14:textId="77777777" w:rsidR="004E25DE" w:rsidRDefault="004E25DE" w:rsidP="00B76878">
            <w:pPr>
              <w:widowControl w:val="0"/>
              <w:suppressAutoHyphens w:val="0"/>
              <w:spacing w:line="252" w:lineRule="auto"/>
              <w:rPr>
                <w:lang w:val="en-US"/>
              </w:rPr>
            </w:pPr>
            <w:r>
              <w:rPr>
                <w:lang w:val="en-US"/>
              </w:rPr>
              <w:t>Name and position of Signatory</w:t>
            </w:r>
          </w:p>
        </w:tc>
        <w:tc>
          <w:tcPr>
            <w:tcW w:w="7178" w:type="dxa"/>
          </w:tcPr>
          <w:p w14:paraId="74A2C552" w14:textId="77777777" w:rsidR="004E25DE" w:rsidRDefault="004E25DE" w:rsidP="00B76878">
            <w:pPr>
              <w:widowControl w:val="0"/>
              <w:suppressAutoHyphens w:val="0"/>
              <w:spacing w:line="252" w:lineRule="auto"/>
              <w:rPr>
                <w:lang w:val="en-US"/>
              </w:rPr>
            </w:pPr>
          </w:p>
        </w:tc>
      </w:tr>
    </w:tbl>
    <w:p w14:paraId="6A572368" w14:textId="77777777" w:rsidR="004E25DE" w:rsidRPr="004C6A64" w:rsidRDefault="004E25DE" w:rsidP="00B76878">
      <w:pPr>
        <w:widowControl w:val="0"/>
        <w:suppressAutoHyphens w:val="0"/>
        <w:spacing w:line="252" w:lineRule="auto"/>
        <w:rPr>
          <w:lang w:val="en-US"/>
        </w:rPr>
      </w:pPr>
      <w:r>
        <w:rPr>
          <w:lang w:val="en-US"/>
        </w:rPr>
        <w:t xml:space="preserve"> </w:t>
      </w:r>
    </w:p>
    <w:p w14:paraId="669F747C" w14:textId="77777777" w:rsidR="004E25DE" w:rsidRDefault="004E25DE" w:rsidP="00B76878">
      <w:pPr>
        <w:pStyle w:val="Level2"/>
        <w:keepNext w:val="0"/>
        <w:widowControl w:val="0"/>
        <w:suppressAutoHyphens w:val="0"/>
        <w:spacing w:line="252" w:lineRule="auto"/>
        <w:rPr>
          <w:lang w:val="en-US"/>
        </w:rPr>
      </w:pPr>
    </w:p>
    <w:p w14:paraId="136E6E5C" w14:textId="77777777" w:rsidR="00B20D70" w:rsidRDefault="00B20D70" w:rsidP="00B76878">
      <w:pPr>
        <w:pStyle w:val="Level2"/>
        <w:keepNext w:val="0"/>
        <w:widowControl w:val="0"/>
        <w:suppressAutoHyphens w:val="0"/>
        <w:spacing w:line="252" w:lineRule="auto"/>
        <w:rPr>
          <w:lang w:val="en-US"/>
        </w:rPr>
      </w:pPr>
    </w:p>
    <w:p w14:paraId="3F05DA1B" w14:textId="345A16DA" w:rsidR="00B20D70" w:rsidRDefault="00B20D70" w:rsidP="00B7430C">
      <w:pPr>
        <w:pStyle w:val="Heading1"/>
        <w:keepNext w:val="0"/>
        <w:widowControl w:val="0"/>
        <w:suppressAutoHyphens w:val="0"/>
        <w:spacing w:after="0" w:line="252" w:lineRule="auto"/>
        <w:rPr>
          <w:caps w:val="0"/>
        </w:rPr>
      </w:pPr>
      <w:bookmarkStart w:id="69" w:name="_Toc153880807"/>
      <w:r w:rsidRPr="008B00ED">
        <w:rPr>
          <w:szCs w:val="22"/>
        </w:rPr>
        <w:t xml:space="preserve">Appendix E </w:t>
      </w:r>
      <w:r w:rsidR="00B7430C">
        <w:rPr>
          <w:szCs w:val="22"/>
        </w:rPr>
        <w:t xml:space="preserve">- </w:t>
      </w:r>
      <w:r w:rsidR="00BA643A">
        <w:rPr>
          <w:caps w:val="0"/>
          <w:szCs w:val="22"/>
        </w:rPr>
        <w:t>J</w:t>
      </w:r>
      <w:r w:rsidR="00BA643A" w:rsidRPr="008B00ED">
        <w:rPr>
          <w:caps w:val="0"/>
          <w:szCs w:val="22"/>
        </w:rPr>
        <w:t xml:space="preserve">oining </w:t>
      </w:r>
      <w:r w:rsidR="00BA643A">
        <w:rPr>
          <w:caps w:val="0"/>
          <w:szCs w:val="22"/>
        </w:rPr>
        <w:t>A</w:t>
      </w:r>
      <w:r w:rsidR="00BA643A" w:rsidRPr="008B00ED">
        <w:rPr>
          <w:caps w:val="0"/>
          <w:szCs w:val="22"/>
        </w:rPr>
        <w:t>ddendum</w:t>
      </w:r>
      <w:r w:rsidR="00BA643A">
        <w:rPr>
          <w:caps w:val="0"/>
          <w:szCs w:val="22"/>
        </w:rPr>
        <w:t xml:space="preserve"> - </w:t>
      </w:r>
      <w:r w:rsidR="00BA643A" w:rsidRPr="008B00ED">
        <w:rPr>
          <w:caps w:val="0"/>
        </w:rPr>
        <w:t>Pennine M</w:t>
      </w:r>
      <w:r w:rsidR="00BA643A">
        <w:rPr>
          <w:caps w:val="0"/>
        </w:rPr>
        <w:t>SK</w:t>
      </w:r>
      <w:r w:rsidR="00BA643A" w:rsidRPr="008B00ED">
        <w:rPr>
          <w:caps w:val="0"/>
        </w:rPr>
        <w:t xml:space="preserve"> Partnership Limited</w:t>
      </w:r>
      <w:bookmarkEnd w:id="69"/>
    </w:p>
    <w:p w14:paraId="3E3F935C" w14:textId="2EE47B36" w:rsidR="00342185" w:rsidRPr="002B51C6" w:rsidRDefault="00DB22C8" w:rsidP="00342185">
      <w:pPr>
        <w:pStyle w:val="Level2"/>
        <w:rPr>
          <w:b/>
          <w:bCs/>
        </w:rPr>
      </w:pPr>
      <w:r>
        <w:br/>
      </w:r>
      <w:r w:rsidRPr="002B51C6">
        <w:rPr>
          <w:b/>
          <w:bCs/>
        </w:rPr>
        <w:t>Redacted</w:t>
      </w:r>
    </w:p>
    <w:p w14:paraId="603BAA08" w14:textId="77777777" w:rsidR="008B00ED" w:rsidRDefault="008B00ED" w:rsidP="008107F3">
      <w:pPr>
        <w:pStyle w:val="Level2"/>
        <w:keepNext w:val="0"/>
        <w:widowControl w:val="0"/>
        <w:suppressAutoHyphens w:val="0"/>
        <w:spacing w:line="252" w:lineRule="auto"/>
        <w:ind w:left="720"/>
        <w:rPr>
          <w:b/>
          <w:bCs/>
        </w:rPr>
      </w:pPr>
    </w:p>
    <w:p w14:paraId="7837F21B" w14:textId="77777777" w:rsidR="008B00ED" w:rsidRDefault="008B00ED" w:rsidP="008107F3">
      <w:pPr>
        <w:pStyle w:val="Level2"/>
        <w:keepNext w:val="0"/>
        <w:widowControl w:val="0"/>
        <w:suppressAutoHyphens w:val="0"/>
        <w:spacing w:line="252" w:lineRule="auto"/>
        <w:ind w:left="720"/>
        <w:rPr>
          <w:b/>
          <w:bCs/>
        </w:rPr>
      </w:pPr>
    </w:p>
    <w:p w14:paraId="49FB1FED" w14:textId="416BD7AB" w:rsidR="008B00ED" w:rsidRDefault="008B00ED" w:rsidP="00B7430C">
      <w:pPr>
        <w:pStyle w:val="Heading1"/>
        <w:keepNext w:val="0"/>
        <w:widowControl w:val="0"/>
        <w:suppressAutoHyphens w:val="0"/>
        <w:spacing w:after="0" w:line="252" w:lineRule="auto"/>
      </w:pPr>
      <w:bookmarkStart w:id="70" w:name="_Toc153880808"/>
      <w:r w:rsidRPr="008B00ED">
        <w:rPr>
          <w:szCs w:val="22"/>
        </w:rPr>
        <w:t xml:space="preserve">Appendix </w:t>
      </w:r>
      <w:r w:rsidR="00BA643A">
        <w:rPr>
          <w:szCs w:val="22"/>
        </w:rPr>
        <w:t>F</w:t>
      </w:r>
      <w:r w:rsidRPr="008B00ED">
        <w:rPr>
          <w:szCs w:val="22"/>
        </w:rPr>
        <w:t xml:space="preserve"> –</w:t>
      </w:r>
      <w:r w:rsidR="00B7430C">
        <w:rPr>
          <w:szCs w:val="22"/>
        </w:rPr>
        <w:t xml:space="preserve"> </w:t>
      </w:r>
      <w:r w:rsidR="00BA643A">
        <w:rPr>
          <w:caps w:val="0"/>
          <w:szCs w:val="22"/>
        </w:rPr>
        <w:t>J</w:t>
      </w:r>
      <w:r w:rsidR="00BA643A" w:rsidRPr="008B00ED">
        <w:rPr>
          <w:caps w:val="0"/>
          <w:szCs w:val="22"/>
        </w:rPr>
        <w:t xml:space="preserve">oining </w:t>
      </w:r>
      <w:r w:rsidR="00BA643A">
        <w:rPr>
          <w:caps w:val="0"/>
          <w:szCs w:val="22"/>
        </w:rPr>
        <w:t>A</w:t>
      </w:r>
      <w:r w:rsidR="00BA643A" w:rsidRPr="008B00ED">
        <w:rPr>
          <w:caps w:val="0"/>
          <w:szCs w:val="22"/>
        </w:rPr>
        <w:t>ddendum</w:t>
      </w:r>
      <w:r w:rsidR="00BA643A">
        <w:rPr>
          <w:caps w:val="0"/>
          <w:szCs w:val="22"/>
        </w:rPr>
        <w:t xml:space="preserve"> - </w:t>
      </w:r>
      <w:r w:rsidR="00BA643A">
        <w:rPr>
          <w:caps w:val="0"/>
        </w:rPr>
        <w:t>Liverpool University Hospital NHS Foundation Trust</w:t>
      </w:r>
      <w:bookmarkEnd w:id="70"/>
    </w:p>
    <w:p w14:paraId="4950C9D2" w14:textId="77777777" w:rsidR="003E7487" w:rsidRDefault="003E7487" w:rsidP="003E7487">
      <w:pPr>
        <w:pStyle w:val="Level2"/>
        <w:keepNext w:val="0"/>
        <w:widowControl w:val="0"/>
        <w:suppressAutoHyphens w:val="0"/>
        <w:spacing w:line="252" w:lineRule="auto"/>
        <w:rPr>
          <w:b/>
          <w:bCs/>
        </w:rPr>
      </w:pPr>
    </w:p>
    <w:p w14:paraId="30013223" w14:textId="3F2F9ADE" w:rsidR="00107045" w:rsidRDefault="00107045" w:rsidP="003E7487">
      <w:pPr>
        <w:pStyle w:val="Level2"/>
        <w:keepNext w:val="0"/>
        <w:widowControl w:val="0"/>
        <w:suppressAutoHyphens w:val="0"/>
        <w:spacing w:line="252" w:lineRule="auto"/>
        <w:rPr>
          <w:b/>
          <w:bCs/>
        </w:rPr>
      </w:pPr>
      <w:r>
        <w:rPr>
          <w:b/>
          <w:bCs/>
        </w:rPr>
        <w:t xml:space="preserve">Redacted </w:t>
      </w:r>
      <w:r w:rsidR="00C04AB0">
        <w:rPr>
          <w:b/>
          <w:bCs/>
        </w:rPr>
        <w:br/>
      </w:r>
    </w:p>
    <w:p w14:paraId="387DB385" w14:textId="77777777" w:rsidR="00583D24" w:rsidRDefault="00583D24" w:rsidP="003E7487">
      <w:pPr>
        <w:pStyle w:val="Level2"/>
        <w:keepNext w:val="0"/>
        <w:widowControl w:val="0"/>
        <w:suppressAutoHyphens w:val="0"/>
        <w:spacing w:line="252" w:lineRule="auto"/>
        <w:rPr>
          <w:b/>
          <w:bCs/>
        </w:rPr>
      </w:pPr>
    </w:p>
    <w:p w14:paraId="07E30A73" w14:textId="77777777" w:rsidR="00583D24" w:rsidRDefault="00583D24" w:rsidP="003E7487">
      <w:pPr>
        <w:pStyle w:val="Level2"/>
        <w:keepNext w:val="0"/>
        <w:widowControl w:val="0"/>
        <w:suppressAutoHyphens w:val="0"/>
        <w:spacing w:line="252" w:lineRule="auto"/>
        <w:rPr>
          <w:b/>
          <w:bCs/>
        </w:rPr>
      </w:pPr>
    </w:p>
    <w:p w14:paraId="5171BA80" w14:textId="77777777" w:rsidR="00583D24" w:rsidRDefault="00583D24" w:rsidP="003E7487">
      <w:pPr>
        <w:pStyle w:val="Level2"/>
        <w:keepNext w:val="0"/>
        <w:widowControl w:val="0"/>
        <w:suppressAutoHyphens w:val="0"/>
        <w:spacing w:line="252" w:lineRule="auto"/>
        <w:rPr>
          <w:b/>
          <w:bCs/>
        </w:rPr>
      </w:pPr>
    </w:p>
    <w:p w14:paraId="362AB764" w14:textId="76B1C46A" w:rsidR="00C04AB0" w:rsidRDefault="00C04AB0" w:rsidP="00FB762B">
      <w:pPr>
        <w:pStyle w:val="Heading1"/>
      </w:pPr>
      <w:bookmarkStart w:id="71" w:name="_Toc153880809"/>
      <w:r>
        <w:lastRenderedPageBreak/>
        <w:t>Appen</w:t>
      </w:r>
      <w:r w:rsidR="007502EA">
        <w:t xml:space="preserve">dix G – </w:t>
      </w:r>
      <w:r w:rsidR="007502EA" w:rsidRPr="000D2631">
        <w:t xml:space="preserve">Joining Addendum </w:t>
      </w:r>
      <w:r w:rsidR="007C28B0" w:rsidRPr="000D2631">
        <w:t>- GM Wide Community Pharmacies</w:t>
      </w:r>
      <w:bookmarkEnd w:id="71"/>
    </w:p>
    <w:tbl>
      <w:tblPr>
        <w:tblStyle w:val="TableGrid"/>
        <w:tblW w:w="0" w:type="auto"/>
        <w:tblLook w:val="04A0" w:firstRow="1" w:lastRow="0" w:firstColumn="1" w:lastColumn="0" w:noHBand="0" w:noVBand="1"/>
      </w:tblPr>
      <w:tblGrid>
        <w:gridCol w:w="1838"/>
        <w:gridCol w:w="7178"/>
      </w:tblGrid>
      <w:tr w:rsidR="00583D24" w14:paraId="7EEFE626" w14:textId="77777777" w:rsidTr="00D0456B">
        <w:tc>
          <w:tcPr>
            <w:tcW w:w="1838" w:type="dxa"/>
          </w:tcPr>
          <w:p w14:paraId="7D2622AE" w14:textId="77777777" w:rsidR="00583D24" w:rsidRDefault="00583D24" w:rsidP="00D0456B">
            <w:pPr>
              <w:widowControl w:val="0"/>
              <w:suppressAutoHyphens w:val="0"/>
              <w:spacing w:line="252" w:lineRule="auto"/>
              <w:rPr>
                <w:lang w:val="en-US"/>
              </w:rPr>
            </w:pPr>
            <w:r>
              <w:rPr>
                <w:lang w:val="en-US"/>
              </w:rPr>
              <w:t xml:space="preserve">Name of </w:t>
            </w:r>
          </w:p>
          <w:p w14:paraId="3B0D5D87" w14:textId="77777777" w:rsidR="00583D24" w:rsidRDefault="00583D24" w:rsidP="00D0456B">
            <w:pPr>
              <w:widowControl w:val="0"/>
              <w:suppressAutoHyphens w:val="0"/>
              <w:spacing w:line="252" w:lineRule="auto"/>
              <w:rPr>
                <w:lang w:val="en-US"/>
              </w:rPr>
            </w:pPr>
            <w:r>
              <w:rPr>
                <w:lang w:val="en-US"/>
              </w:rPr>
              <w:t>Authorised User</w:t>
            </w:r>
          </w:p>
        </w:tc>
        <w:tc>
          <w:tcPr>
            <w:tcW w:w="7178" w:type="dxa"/>
          </w:tcPr>
          <w:p w14:paraId="0AC9E8AD" w14:textId="77777777" w:rsidR="00583D24" w:rsidRDefault="00583D24" w:rsidP="00D0456B">
            <w:pPr>
              <w:widowControl w:val="0"/>
              <w:suppressAutoHyphens w:val="0"/>
              <w:spacing w:line="252" w:lineRule="auto"/>
              <w:rPr>
                <w:lang w:val="en-US"/>
              </w:rPr>
            </w:pPr>
            <w:r>
              <w:rPr>
                <w:lang w:val="en-US"/>
              </w:rPr>
              <w:t>Pharmacists in Community Pharmacies as noted in the following DPIA:</w:t>
            </w:r>
            <w:r>
              <w:rPr>
                <w:lang w:val="en-US"/>
              </w:rPr>
              <w:br/>
            </w:r>
            <w:r>
              <w:rPr>
                <w:lang w:val="en-US"/>
              </w:rPr>
              <w:br/>
              <w:t xml:space="preserve">Community Pharmacy DPIA - GMCR22 </w:t>
            </w:r>
          </w:p>
        </w:tc>
      </w:tr>
      <w:tr w:rsidR="00583D24" w14:paraId="3F246736" w14:textId="77777777" w:rsidTr="00D0456B">
        <w:tc>
          <w:tcPr>
            <w:tcW w:w="1838" w:type="dxa"/>
          </w:tcPr>
          <w:p w14:paraId="545D2D93" w14:textId="77777777" w:rsidR="00583D24" w:rsidRDefault="00583D24" w:rsidP="00D0456B">
            <w:pPr>
              <w:widowControl w:val="0"/>
              <w:suppressAutoHyphens w:val="0"/>
              <w:spacing w:line="252" w:lineRule="auto"/>
              <w:rPr>
                <w:lang w:val="en-US"/>
              </w:rPr>
            </w:pPr>
            <w:r w:rsidRPr="00410CFF">
              <w:rPr>
                <w:lang w:val="en-US"/>
              </w:rPr>
              <w:t>Commissione</w:t>
            </w:r>
            <w:r>
              <w:rPr>
                <w:lang w:val="en-US"/>
              </w:rPr>
              <w:t>r</w:t>
            </w:r>
          </w:p>
        </w:tc>
        <w:tc>
          <w:tcPr>
            <w:tcW w:w="7178" w:type="dxa"/>
          </w:tcPr>
          <w:p w14:paraId="15AA3E4A" w14:textId="77777777" w:rsidR="00583D24" w:rsidRDefault="00583D24" w:rsidP="00D0456B">
            <w:pPr>
              <w:widowControl w:val="0"/>
              <w:suppressAutoHyphens w:val="0"/>
              <w:spacing w:line="252" w:lineRule="auto"/>
              <w:rPr>
                <w:lang w:val="en-US"/>
              </w:rPr>
            </w:pPr>
            <w:r>
              <w:rPr>
                <w:lang w:val="en-US"/>
              </w:rPr>
              <w:t>NHS Integrated Care Boards/Local Authorities/NHS England</w:t>
            </w:r>
          </w:p>
        </w:tc>
      </w:tr>
      <w:tr w:rsidR="00583D24" w14:paraId="6A6A3B63" w14:textId="77777777" w:rsidTr="00D0456B">
        <w:tc>
          <w:tcPr>
            <w:tcW w:w="1838" w:type="dxa"/>
          </w:tcPr>
          <w:p w14:paraId="729863A6" w14:textId="77777777" w:rsidR="00583D24" w:rsidRDefault="00583D24" w:rsidP="00D0456B">
            <w:pPr>
              <w:widowControl w:val="0"/>
              <w:suppressAutoHyphens w:val="0"/>
              <w:spacing w:line="252" w:lineRule="auto"/>
              <w:rPr>
                <w:lang w:val="en-US"/>
              </w:rPr>
            </w:pPr>
            <w:r>
              <w:rPr>
                <w:lang w:val="en-US"/>
              </w:rPr>
              <w:t>Purpose of the Access</w:t>
            </w:r>
          </w:p>
        </w:tc>
        <w:tc>
          <w:tcPr>
            <w:tcW w:w="7178" w:type="dxa"/>
          </w:tcPr>
          <w:p w14:paraId="5B33B9C2" w14:textId="77777777" w:rsidR="00583D24" w:rsidRDefault="00583D24" w:rsidP="00D0456B">
            <w:pPr>
              <w:widowControl w:val="0"/>
              <w:suppressAutoHyphens w:val="0"/>
              <w:spacing w:line="252" w:lineRule="auto"/>
              <w:rPr>
                <w:lang w:val="en-US"/>
              </w:rPr>
            </w:pPr>
            <w:r>
              <w:rPr>
                <w:lang w:val="en-US"/>
              </w:rPr>
              <w:t>To provide joined up care across a new sector which previously did not have access, further detailed in the DPIA and section 3.3 of this document.</w:t>
            </w:r>
          </w:p>
        </w:tc>
      </w:tr>
      <w:tr w:rsidR="00583D24" w14:paraId="11C730BF" w14:textId="77777777" w:rsidTr="00D0456B">
        <w:tc>
          <w:tcPr>
            <w:tcW w:w="1838" w:type="dxa"/>
          </w:tcPr>
          <w:p w14:paraId="08754519" w14:textId="77777777" w:rsidR="00583D24" w:rsidRDefault="00583D24" w:rsidP="00D0456B">
            <w:pPr>
              <w:widowControl w:val="0"/>
              <w:suppressAutoHyphens w:val="0"/>
              <w:spacing w:line="252" w:lineRule="auto"/>
              <w:rPr>
                <w:lang w:val="en-US"/>
              </w:rPr>
            </w:pPr>
            <w:r>
              <w:rPr>
                <w:lang w:val="en-US"/>
              </w:rPr>
              <w:t>Access required</w:t>
            </w:r>
          </w:p>
        </w:tc>
        <w:tc>
          <w:tcPr>
            <w:tcW w:w="7178" w:type="dxa"/>
          </w:tcPr>
          <w:p w14:paraId="15E8746D" w14:textId="45735021" w:rsidR="00583D24" w:rsidRDefault="006073CC" w:rsidP="00D0456B">
            <w:pPr>
              <w:widowControl w:val="0"/>
              <w:suppressAutoHyphens w:val="0"/>
              <w:spacing w:line="252" w:lineRule="auto"/>
              <w:rPr>
                <w:lang w:val="en-US"/>
              </w:rPr>
            </w:pPr>
            <w:r>
              <w:rPr>
                <w:lang w:val="en-US"/>
              </w:rPr>
              <w:t>GM wide access is being provided to Pharmacies as the</w:t>
            </w:r>
            <w:r w:rsidR="00094273">
              <w:rPr>
                <w:lang w:val="en-US"/>
              </w:rPr>
              <w:t xml:space="preserve"> patients they encounter</w:t>
            </w:r>
            <w:r w:rsidR="009009D3">
              <w:rPr>
                <w:lang w:val="en-US"/>
              </w:rPr>
              <w:t xml:space="preserve"> are unlikely to be bound only to locality. </w:t>
            </w:r>
            <w:r w:rsidR="004C3108">
              <w:rPr>
                <w:lang w:val="en-US"/>
              </w:rPr>
              <w:t>Access is provided by Single Sign On</w:t>
            </w:r>
            <w:r w:rsidR="00FE384D">
              <w:rPr>
                <w:lang w:val="en-US"/>
              </w:rPr>
              <w:t xml:space="preserve">, meaning the access is linked to singular accounts and opened from the patient record. </w:t>
            </w:r>
          </w:p>
        </w:tc>
      </w:tr>
      <w:tr w:rsidR="00583D24" w14:paraId="768C4EE7" w14:textId="77777777" w:rsidTr="00D0456B">
        <w:tc>
          <w:tcPr>
            <w:tcW w:w="1838" w:type="dxa"/>
          </w:tcPr>
          <w:p w14:paraId="21A5DD3D" w14:textId="77777777" w:rsidR="00583D24" w:rsidRDefault="00583D24" w:rsidP="00D0456B">
            <w:pPr>
              <w:widowControl w:val="0"/>
              <w:suppressAutoHyphens w:val="0"/>
              <w:spacing w:line="252" w:lineRule="auto"/>
              <w:rPr>
                <w:lang w:val="en-US"/>
              </w:rPr>
            </w:pPr>
            <w:r>
              <w:rPr>
                <w:lang w:val="en-US"/>
              </w:rPr>
              <w:t>Approx no. of users</w:t>
            </w:r>
          </w:p>
        </w:tc>
        <w:tc>
          <w:tcPr>
            <w:tcW w:w="7178" w:type="dxa"/>
          </w:tcPr>
          <w:p w14:paraId="73253C6E" w14:textId="186AC5CE" w:rsidR="00583D24" w:rsidRDefault="00141B09" w:rsidP="00D0456B">
            <w:pPr>
              <w:widowControl w:val="0"/>
              <w:suppressAutoHyphens w:val="0"/>
              <w:spacing w:line="252" w:lineRule="auto"/>
              <w:rPr>
                <w:lang w:val="en-US"/>
              </w:rPr>
            </w:pPr>
            <w:r>
              <w:rPr>
                <w:lang w:val="en-US"/>
              </w:rPr>
              <w:t xml:space="preserve">Access being </w:t>
            </w:r>
            <w:r w:rsidR="00702741">
              <w:rPr>
                <w:lang w:val="en-US"/>
              </w:rPr>
              <w:t>provided</w:t>
            </w:r>
            <w:r>
              <w:rPr>
                <w:lang w:val="en-US"/>
              </w:rPr>
              <w:t xml:space="preserve"> across approx. 600 pharmacies to registered pharmacists</w:t>
            </w:r>
            <w:r w:rsidR="00702741">
              <w:rPr>
                <w:lang w:val="en-US"/>
              </w:rPr>
              <w:t>, contingent on their engagement with the onboarding process</w:t>
            </w:r>
            <w:r w:rsidR="0049311D">
              <w:rPr>
                <w:lang w:val="en-US"/>
              </w:rPr>
              <w:t>.</w:t>
            </w:r>
          </w:p>
        </w:tc>
      </w:tr>
      <w:tr w:rsidR="00583D24" w14:paraId="4906F081" w14:textId="77777777" w:rsidTr="00D0456B">
        <w:tc>
          <w:tcPr>
            <w:tcW w:w="1838" w:type="dxa"/>
          </w:tcPr>
          <w:p w14:paraId="7FBBF95D" w14:textId="77777777" w:rsidR="00583D24" w:rsidRDefault="00583D24" w:rsidP="00D0456B">
            <w:pPr>
              <w:widowControl w:val="0"/>
              <w:suppressAutoHyphens w:val="0"/>
              <w:spacing w:line="252" w:lineRule="auto"/>
              <w:rPr>
                <w:lang w:val="en-US"/>
              </w:rPr>
            </w:pPr>
            <w:r>
              <w:rPr>
                <w:lang w:val="en-US"/>
              </w:rPr>
              <w:t>ICO Registration</w:t>
            </w:r>
          </w:p>
        </w:tc>
        <w:tc>
          <w:tcPr>
            <w:tcW w:w="7178" w:type="dxa"/>
          </w:tcPr>
          <w:p w14:paraId="695A51F4" w14:textId="1B429A91" w:rsidR="00583D24" w:rsidRDefault="00702741" w:rsidP="00D0456B">
            <w:pPr>
              <w:widowControl w:val="0"/>
              <w:suppressAutoHyphens w:val="0"/>
              <w:spacing w:line="252" w:lineRule="auto"/>
              <w:rPr>
                <w:lang w:val="en-US"/>
              </w:rPr>
            </w:pPr>
            <w:r>
              <w:rPr>
                <w:lang w:val="en-US"/>
              </w:rPr>
              <w:t>As per pharmacy within DPIA.</w:t>
            </w:r>
          </w:p>
        </w:tc>
      </w:tr>
      <w:tr w:rsidR="00583D24" w14:paraId="47992CBA" w14:textId="77777777" w:rsidTr="00D0456B">
        <w:tc>
          <w:tcPr>
            <w:tcW w:w="1838" w:type="dxa"/>
          </w:tcPr>
          <w:p w14:paraId="2A45702A" w14:textId="77777777" w:rsidR="00583D24" w:rsidRDefault="00583D24" w:rsidP="00D0456B">
            <w:pPr>
              <w:widowControl w:val="0"/>
              <w:suppressAutoHyphens w:val="0"/>
              <w:spacing w:line="252" w:lineRule="auto"/>
              <w:rPr>
                <w:lang w:val="en-US"/>
              </w:rPr>
            </w:pPr>
            <w:r>
              <w:rPr>
                <w:lang w:val="en-US"/>
              </w:rPr>
              <w:t>DSP Toolkit</w:t>
            </w:r>
          </w:p>
        </w:tc>
        <w:tc>
          <w:tcPr>
            <w:tcW w:w="7178" w:type="dxa"/>
          </w:tcPr>
          <w:p w14:paraId="44ECB2EE" w14:textId="10777535" w:rsidR="00583D24" w:rsidRDefault="00702741" w:rsidP="00D0456B">
            <w:pPr>
              <w:widowControl w:val="0"/>
              <w:suppressAutoHyphens w:val="0"/>
              <w:spacing w:line="252" w:lineRule="auto"/>
              <w:rPr>
                <w:lang w:val="en-US"/>
              </w:rPr>
            </w:pPr>
            <w:r>
              <w:rPr>
                <w:lang w:val="en-US"/>
              </w:rPr>
              <w:t>As per pharmacy within DPIA.</w:t>
            </w:r>
          </w:p>
        </w:tc>
      </w:tr>
      <w:tr w:rsidR="00583D24" w14:paraId="52F26BD0" w14:textId="77777777" w:rsidTr="00D0456B">
        <w:tc>
          <w:tcPr>
            <w:tcW w:w="1838" w:type="dxa"/>
          </w:tcPr>
          <w:p w14:paraId="5A55B45C" w14:textId="77777777" w:rsidR="00583D24" w:rsidRDefault="00583D24" w:rsidP="00D0456B">
            <w:pPr>
              <w:widowControl w:val="0"/>
              <w:suppressAutoHyphens w:val="0"/>
              <w:spacing w:line="252" w:lineRule="auto"/>
              <w:rPr>
                <w:lang w:val="en-US"/>
              </w:rPr>
            </w:pPr>
            <w:r>
              <w:rPr>
                <w:lang w:val="en-US"/>
              </w:rPr>
              <w:t xml:space="preserve">Start Date of </w:t>
            </w:r>
          </w:p>
          <w:p w14:paraId="24F510A1" w14:textId="77777777" w:rsidR="00583D24" w:rsidRDefault="00583D24" w:rsidP="00D0456B">
            <w:pPr>
              <w:widowControl w:val="0"/>
              <w:suppressAutoHyphens w:val="0"/>
              <w:spacing w:line="252" w:lineRule="auto"/>
              <w:rPr>
                <w:lang w:val="en-US"/>
              </w:rPr>
            </w:pPr>
            <w:r>
              <w:rPr>
                <w:lang w:val="en-US"/>
              </w:rPr>
              <w:t>Access</w:t>
            </w:r>
          </w:p>
        </w:tc>
        <w:tc>
          <w:tcPr>
            <w:tcW w:w="7178" w:type="dxa"/>
          </w:tcPr>
          <w:p w14:paraId="688BB6D8" w14:textId="51D82FFE" w:rsidR="00583D24" w:rsidRDefault="00702741" w:rsidP="00D0456B">
            <w:pPr>
              <w:widowControl w:val="0"/>
              <w:suppressAutoHyphens w:val="0"/>
              <w:spacing w:line="252" w:lineRule="auto"/>
              <w:rPr>
                <w:lang w:val="en-US"/>
              </w:rPr>
            </w:pPr>
            <w:r>
              <w:rPr>
                <w:lang w:val="en-US"/>
              </w:rPr>
              <w:t>As per pharmacy within DPIA.</w:t>
            </w:r>
          </w:p>
        </w:tc>
      </w:tr>
      <w:tr w:rsidR="00583D24" w14:paraId="2098012C" w14:textId="77777777" w:rsidTr="00D0456B">
        <w:tc>
          <w:tcPr>
            <w:tcW w:w="1838" w:type="dxa"/>
          </w:tcPr>
          <w:p w14:paraId="391EE141" w14:textId="77777777" w:rsidR="00583D24" w:rsidRDefault="00583D24" w:rsidP="00D0456B">
            <w:pPr>
              <w:widowControl w:val="0"/>
              <w:suppressAutoHyphens w:val="0"/>
              <w:spacing w:line="252" w:lineRule="auto"/>
              <w:rPr>
                <w:lang w:val="en-US"/>
              </w:rPr>
            </w:pPr>
            <w:r>
              <w:rPr>
                <w:lang w:val="en-US"/>
              </w:rPr>
              <w:t xml:space="preserve">End Date of </w:t>
            </w:r>
          </w:p>
          <w:p w14:paraId="70B45A85" w14:textId="77777777" w:rsidR="00583D24" w:rsidRDefault="00583D24" w:rsidP="00D0456B">
            <w:pPr>
              <w:widowControl w:val="0"/>
              <w:suppressAutoHyphens w:val="0"/>
              <w:spacing w:line="252" w:lineRule="auto"/>
              <w:rPr>
                <w:lang w:val="en-US"/>
              </w:rPr>
            </w:pPr>
            <w:r>
              <w:rPr>
                <w:lang w:val="en-US"/>
              </w:rPr>
              <w:t>Access</w:t>
            </w:r>
          </w:p>
        </w:tc>
        <w:tc>
          <w:tcPr>
            <w:tcW w:w="7178" w:type="dxa"/>
          </w:tcPr>
          <w:p w14:paraId="52018D56" w14:textId="6DB616E3" w:rsidR="00583D24" w:rsidRDefault="00702741" w:rsidP="00D0456B">
            <w:pPr>
              <w:widowControl w:val="0"/>
              <w:suppressAutoHyphens w:val="0"/>
              <w:spacing w:line="252" w:lineRule="auto"/>
              <w:rPr>
                <w:lang w:val="en-US"/>
              </w:rPr>
            </w:pPr>
            <w:r>
              <w:rPr>
                <w:lang w:val="en-US"/>
              </w:rPr>
              <w:t>As per pharmacy within DPIA.</w:t>
            </w:r>
          </w:p>
        </w:tc>
      </w:tr>
      <w:tr w:rsidR="00583D24" w14:paraId="68D2D005" w14:textId="77777777" w:rsidTr="00D0456B">
        <w:tc>
          <w:tcPr>
            <w:tcW w:w="1838" w:type="dxa"/>
          </w:tcPr>
          <w:p w14:paraId="0271C22A" w14:textId="77777777" w:rsidR="00583D24" w:rsidRDefault="00583D24" w:rsidP="00D0456B">
            <w:pPr>
              <w:widowControl w:val="0"/>
              <w:suppressAutoHyphens w:val="0"/>
              <w:spacing w:line="252" w:lineRule="auto"/>
              <w:rPr>
                <w:lang w:val="en-US"/>
              </w:rPr>
            </w:pPr>
            <w:r>
              <w:rPr>
                <w:lang w:val="en-US"/>
              </w:rPr>
              <w:t>IG Contact and/or DPO</w:t>
            </w:r>
          </w:p>
        </w:tc>
        <w:tc>
          <w:tcPr>
            <w:tcW w:w="7178" w:type="dxa"/>
          </w:tcPr>
          <w:p w14:paraId="61327C2E" w14:textId="7D98E6B7" w:rsidR="00583D24" w:rsidRDefault="00702741" w:rsidP="00D0456B">
            <w:pPr>
              <w:widowControl w:val="0"/>
              <w:suppressAutoHyphens w:val="0"/>
              <w:spacing w:line="252" w:lineRule="auto"/>
              <w:rPr>
                <w:lang w:val="en-US"/>
              </w:rPr>
            </w:pPr>
            <w:r>
              <w:rPr>
                <w:lang w:val="en-US"/>
              </w:rPr>
              <w:t>As per pharmacy within DPIA.</w:t>
            </w:r>
          </w:p>
        </w:tc>
      </w:tr>
      <w:tr w:rsidR="00583D24" w14:paraId="4DF433AA" w14:textId="77777777" w:rsidTr="00D0456B">
        <w:tc>
          <w:tcPr>
            <w:tcW w:w="1838" w:type="dxa"/>
          </w:tcPr>
          <w:p w14:paraId="7A834274" w14:textId="77777777" w:rsidR="00583D24" w:rsidRDefault="00583D24" w:rsidP="00D0456B">
            <w:pPr>
              <w:widowControl w:val="0"/>
              <w:suppressAutoHyphens w:val="0"/>
              <w:spacing w:line="252" w:lineRule="auto"/>
              <w:rPr>
                <w:lang w:val="en-US"/>
              </w:rPr>
            </w:pPr>
            <w:r>
              <w:rPr>
                <w:lang w:val="en-US"/>
              </w:rPr>
              <w:t>Caldicott Guardian</w:t>
            </w:r>
          </w:p>
        </w:tc>
        <w:tc>
          <w:tcPr>
            <w:tcW w:w="7178" w:type="dxa"/>
          </w:tcPr>
          <w:p w14:paraId="189958E6" w14:textId="6DD7FC2E" w:rsidR="00583D24" w:rsidRDefault="00702741" w:rsidP="00D0456B">
            <w:pPr>
              <w:widowControl w:val="0"/>
              <w:suppressAutoHyphens w:val="0"/>
              <w:spacing w:line="252" w:lineRule="auto"/>
              <w:rPr>
                <w:lang w:val="en-US"/>
              </w:rPr>
            </w:pPr>
            <w:r>
              <w:rPr>
                <w:lang w:val="en-US"/>
              </w:rPr>
              <w:t>As per pharmacy within DPIA.</w:t>
            </w:r>
          </w:p>
        </w:tc>
      </w:tr>
      <w:tr w:rsidR="00583D24" w14:paraId="3315B7C6" w14:textId="77777777" w:rsidTr="00D0456B">
        <w:tc>
          <w:tcPr>
            <w:tcW w:w="1838" w:type="dxa"/>
          </w:tcPr>
          <w:p w14:paraId="2C6EDEDF" w14:textId="77777777" w:rsidR="00583D24" w:rsidRDefault="00583D24" w:rsidP="00D0456B">
            <w:pPr>
              <w:widowControl w:val="0"/>
              <w:suppressAutoHyphens w:val="0"/>
              <w:spacing w:line="252" w:lineRule="auto"/>
              <w:rPr>
                <w:lang w:val="en-US"/>
              </w:rPr>
            </w:pPr>
            <w:r>
              <w:rPr>
                <w:lang w:val="en-US"/>
              </w:rPr>
              <w:t>SIRO Contact</w:t>
            </w:r>
          </w:p>
        </w:tc>
        <w:tc>
          <w:tcPr>
            <w:tcW w:w="7178" w:type="dxa"/>
          </w:tcPr>
          <w:p w14:paraId="3468C9E2" w14:textId="38D3680B" w:rsidR="00583D24" w:rsidRDefault="00426DDB" w:rsidP="00D0456B">
            <w:pPr>
              <w:widowControl w:val="0"/>
              <w:suppressAutoHyphens w:val="0"/>
              <w:spacing w:line="252" w:lineRule="auto"/>
              <w:rPr>
                <w:lang w:val="en-US"/>
              </w:rPr>
            </w:pPr>
            <w:r>
              <w:rPr>
                <w:lang w:val="en-US"/>
              </w:rPr>
              <w:t>As per pharmacy within DPIA.</w:t>
            </w:r>
          </w:p>
        </w:tc>
      </w:tr>
      <w:tr w:rsidR="00583D24" w14:paraId="74479650" w14:textId="77777777" w:rsidTr="00D0456B">
        <w:tc>
          <w:tcPr>
            <w:tcW w:w="1838" w:type="dxa"/>
          </w:tcPr>
          <w:p w14:paraId="6337E425" w14:textId="77777777" w:rsidR="00583D24" w:rsidRDefault="00583D24" w:rsidP="00D0456B">
            <w:pPr>
              <w:widowControl w:val="0"/>
              <w:suppressAutoHyphens w:val="0"/>
              <w:spacing w:line="252" w:lineRule="auto"/>
              <w:rPr>
                <w:lang w:val="en-US"/>
              </w:rPr>
            </w:pPr>
            <w:r>
              <w:rPr>
                <w:lang w:val="en-US"/>
              </w:rPr>
              <w:t>Name and position of Signatory</w:t>
            </w:r>
          </w:p>
        </w:tc>
        <w:tc>
          <w:tcPr>
            <w:tcW w:w="7178" w:type="dxa"/>
          </w:tcPr>
          <w:p w14:paraId="723848A3" w14:textId="4E4226B9" w:rsidR="00583D24" w:rsidRDefault="00426DDB" w:rsidP="00D0456B">
            <w:pPr>
              <w:widowControl w:val="0"/>
              <w:suppressAutoHyphens w:val="0"/>
              <w:spacing w:line="252" w:lineRule="auto"/>
              <w:rPr>
                <w:lang w:val="en-US"/>
              </w:rPr>
            </w:pPr>
            <w:r>
              <w:rPr>
                <w:lang w:val="en-US"/>
              </w:rPr>
              <w:t>Provided in Appendix B.</w:t>
            </w:r>
          </w:p>
        </w:tc>
      </w:tr>
    </w:tbl>
    <w:p w14:paraId="62A9F20E" w14:textId="77777777" w:rsidR="00342185" w:rsidRDefault="00342185" w:rsidP="003E7487">
      <w:pPr>
        <w:pStyle w:val="Level2"/>
        <w:keepNext w:val="0"/>
        <w:widowControl w:val="0"/>
        <w:suppressAutoHyphens w:val="0"/>
        <w:spacing w:line="252" w:lineRule="auto"/>
        <w:rPr>
          <w:b/>
          <w:bCs/>
        </w:rPr>
      </w:pPr>
    </w:p>
    <w:p w14:paraId="3B5B10F4" w14:textId="77777777" w:rsidR="003E7487" w:rsidRDefault="003E7487" w:rsidP="003E7487">
      <w:pPr>
        <w:pStyle w:val="Level2"/>
        <w:keepNext w:val="0"/>
        <w:widowControl w:val="0"/>
        <w:suppressAutoHyphens w:val="0"/>
        <w:spacing w:line="252" w:lineRule="auto"/>
        <w:rPr>
          <w:b/>
          <w:bCs/>
        </w:rPr>
      </w:pPr>
    </w:p>
    <w:bookmarkEnd w:id="68"/>
    <w:p w14:paraId="14D3ECBE" w14:textId="35BC2856" w:rsidR="003E7487" w:rsidRDefault="003E7487" w:rsidP="003E7487">
      <w:pPr>
        <w:pStyle w:val="Level2"/>
        <w:keepNext w:val="0"/>
        <w:widowControl w:val="0"/>
        <w:suppressAutoHyphens w:val="0"/>
        <w:spacing w:line="252" w:lineRule="auto"/>
        <w:rPr>
          <w:b/>
          <w:bCs/>
        </w:rPr>
      </w:pPr>
    </w:p>
    <w:p w14:paraId="0E6436B3" w14:textId="6BEC11B7" w:rsidR="00E859A2" w:rsidRDefault="00E859A2" w:rsidP="003E7487">
      <w:pPr>
        <w:pStyle w:val="Level2"/>
        <w:keepNext w:val="0"/>
        <w:widowControl w:val="0"/>
        <w:suppressAutoHyphens w:val="0"/>
        <w:spacing w:line="252" w:lineRule="auto"/>
        <w:rPr>
          <w:b/>
          <w:bCs/>
        </w:rPr>
      </w:pPr>
    </w:p>
    <w:p w14:paraId="5A70939D" w14:textId="3CE446C2" w:rsidR="00E859A2" w:rsidRDefault="00E859A2" w:rsidP="003E7487">
      <w:pPr>
        <w:pStyle w:val="Level2"/>
        <w:keepNext w:val="0"/>
        <w:widowControl w:val="0"/>
        <w:suppressAutoHyphens w:val="0"/>
        <w:spacing w:line="252" w:lineRule="auto"/>
        <w:rPr>
          <w:b/>
          <w:bCs/>
        </w:rPr>
      </w:pPr>
    </w:p>
    <w:p w14:paraId="1C7B49E9" w14:textId="2D9FAAC7" w:rsidR="00E859A2" w:rsidRDefault="00E859A2" w:rsidP="003E7487">
      <w:pPr>
        <w:pStyle w:val="Level2"/>
        <w:keepNext w:val="0"/>
        <w:widowControl w:val="0"/>
        <w:suppressAutoHyphens w:val="0"/>
        <w:spacing w:line="252" w:lineRule="auto"/>
        <w:rPr>
          <w:b/>
          <w:bCs/>
        </w:rPr>
      </w:pPr>
    </w:p>
    <w:p w14:paraId="61676404" w14:textId="2C04A6E4" w:rsidR="00E859A2" w:rsidRDefault="00E859A2" w:rsidP="003E7487">
      <w:pPr>
        <w:pStyle w:val="Level2"/>
        <w:keepNext w:val="0"/>
        <w:widowControl w:val="0"/>
        <w:suppressAutoHyphens w:val="0"/>
        <w:spacing w:line="252" w:lineRule="auto"/>
        <w:rPr>
          <w:b/>
          <w:bCs/>
        </w:rPr>
      </w:pPr>
    </w:p>
    <w:p w14:paraId="498353A4" w14:textId="30248394" w:rsidR="00E859A2" w:rsidRDefault="00E859A2" w:rsidP="003E7487">
      <w:pPr>
        <w:pStyle w:val="Level2"/>
        <w:keepNext w:val="0"/>
        <w:widowControl w:val="0"/>
        <w:suppressAutoHyphens w:val="0"/>
        <w:spacing w:line="252" w:lineRule="auto"/>
        <w:rPr>
          <w:b/>
          <w:bCs/>
        </w:rPr>
      </w:pPr>
    </w:p>
    <w:p w14:paraId="03D8891B" w14:textId="7084826E" w:rsidR="00E859A2" w:rsidRDefault="00E859A2" w:rsidP="003E7487">
      <w:pPr>
        <w:pStyle w:val="Level2"/>
        <w:keepNext w:val="0"/>
        <w:widowControl w:val="0"/>
        <w:suppressAutoHyphens w:val="0"/>
        <w:spacing w:line="252" w:lineRule="auto"/>
        <w:rPr>
          <w:b/>
          <w:bCs/>
        </w:rPr>
      </w:pPr>
    </w:p>
    <w:p w14:paraId="268CB557" w14:textId="7D942856" w:rsidR="00E859A2" w:rsidRDefault="00E859A2" w:rsidP="003E7487">
      <w:pPr>
        <w:pStyle w:val="Level2"/>
        <w:keepNext w:val="0"/>
        <w:widowControl w:val="0"/>
        <w:suppressAutoHyphens w:val="0"/>
        <w:spacing w:line="252" w:lineRule="auto"/>
        <w:rPr>
          <w:b/>
          <w:bCs/>
        </w:rPr>
      </w:pPr>
    </w:p>
    <w:p w14:paraId="681AB08C" w14:textId="77777777" w:rsidR="00E859A2" w:rsidRDefault="00E859A2" w:rsidP="002B51C6">
      <w:pPr>
        <w:pStyle w:val="Level2"/>
        <w:keepNext w:val="0"/>
        <w:widowControl w:val="0"/>
        <w:suppressAutoHyphens w:val="0"/>
        <w:overflowPunct/>
        <w:autoSpaceDE/>
        <w:spacing w:after="0" w:line="252" w:lineRule="auto"/>
        <w:ind w:left="0"/>
        <w:jc w:val="left"/>
        <w:textAlignment w:val="auto"/>
        <w:outlineLvl w:val="0"/>
        <w:rPr>
          <w:b/>
          <w:bCs/>
        </w:rPr>
      </w:pPr>
    </w:p>
    <w:sectPr w:rsidR="00E859A2">
      <w:headerReference w:type="default" r:id="rId24"/>
      <w:footerReference w:type="default" r:id="rId25"/>
      <w:pgSz w:w="11907" w:h="16840"/>
      <w:pgMar w:top="1361" w:right="1020" w:bottom="1361"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FB07A" w14:textId="77777777" w:rsidR="009262F8" w:rsidRDefault="009262F8">
      <w:r>
        <w:separator/>
      </w:r>
    </w:p>
  </w:endnote>
  <w:endnote w:type="continuationSeparator" w:id="0">
    <w:p w14:paraId="700A435A" w14:textId="77777777" w:rsidR="009262F8" w:rsidRDefault="009262F8">
      <w:r>
        <w:continuationSeparator/>
      </w:r>
    </w:p>
  </w:endnote>
  <w:endnote w:type="continuationNotice" w:id="1">
    <w:p w14:paraId="6A126EEF" w14:textId="77777777" w:rsidR="009262F8" w:rsidRDefault="00926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68C2A" w14:textId="77777777" w:rsidR="00C66ACC" w:rsidRDefault="00D70988">
    <w:pPr>
      <w:pStyle w:val="Footer"/>
      <w:spacing w:after="480"/>
      <w:jc w:val="center"/>
    </w:pPr>
    <w:r>
      <w:fldChar w:fldCharType="begin"/>
    </w:r>
    <w:r>
      <w:instrText xml:space="preserve"> PAGE </w:instrText>
    </w:r>
    <w:r>
      <w:fldChar w:fldCharType="separate"/>
    </w:r>
    <w:r>
      <w:t>15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3866015"/>
      <w:docPartObj>
        <w:docPartGallery w:val="Page Numbers (Bottom of Page)"/>
        <w:docPartUnique/>
      </w:docPartObj>
    </w:sdtPr>
    <w:sdtEndPr>
      <w:rPr>
        <w:noProof/>
      </w:rPr>
    </w:sdtEndPr>
    <w:sdtContent>
      <w:p w14:paraId="58608BA4" w14:textId="77777777" w:rsidR="00950E97" w:rsidRDefault="00950E97" w:rsidP="005577F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AE48E" w14:textId="77777777" w:rsidR="00C66ACC" w:rsidRDefault="00D70988">
    <w:pPr>
      <w:pStyle w:val="Footer"/>
      <w:spacing w:after="480"/>
      <w:jc w:val="center"/>
    </w:pPr>
    <w:r>
      <w:fldChar w:fldCharType="begin"/>
    </w:r>
    <w:r>
      <w:instrText xml:space="preserve"> PAGE </w:instrText>
    </w:r>
    <w:r>
      <w:fldChar w:fldCharType="separate"/>
    </w:r>
    <w: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C078D" w14:textId="77777777" w:rsidR="009262F8" w:rsidRDefault="009262F8">
      <w:r>
        <w:rPr>
          <w:color w:val="000000"/>
        </w:rPr>
        <w:separator/>
      </w:r>
    </w:p>
  </w:footnote>
  <w:footnote w:type="continuationSeparator" w:id="0">
    <w:p w14:paraId="3CD91820" w14:textId="77777777" w:rsidR="009262F8" w:rsidRDefault="009262F8">
      <w:r>
        <w:continuationSeparator/>
      </w:r>
    </w:p>
  </w:footnote>
  <w:footnote w:type="continuationNotice" w:id="1">
    <w:p w14:paraId="02122859" w14:textId="77777777" w:rsidR="009262F8" w:rsidRDefault="009262F8"/>
  </w:footnote>
  <w:footnote w:id="2">
    <w:p w14:paraId="4ADB9CEA" w14:textId="20950AB0" w:rsidR="009A01A4" w:rsidRDefault="009A01A4">
      <w:pPr>
        <w:pStyle w:val="FootnoteText"/>
      </w:pPr>
      <w:r>
        <w:rPr>
          <w:rStyle w:val="FootnoteReference"/>
        </w:rPr>
        <w:footnoteRef/>
      </w:r>
      <w:r>
        <w:t xml:space="preserve"> </w:t>
      </w:r>
      <w:r w:rsidR="00C0444D" w:rsidRPr="00C0444D">
        <w:t>https://transform.england.nhs.uk/information-governance/guidance/summary-of-information-governance-framework-shared-care-records/</w:t>
      </w:r>
    </w:p>
  </w:footnote>
  <w:footnote w:id="3">
    <w:p w14:paraId="3ED10D79" w14:textId="77777777" w:rsidR="00950E97" w:rsidRPr="00990A34" w:rsidRDefault="00950E97" w:rsidP="00950E97">
      <w:pPr>
        <w:pStyle w:val="FootnoteText"/>
        <w:rPr>
          <w:rFonts w:ascii="Arial" w:hAnsi="Arial"/>
          <w:lang w:val="en-US"/>
        </w:rPr>
      </w:pPr>
      <w:r w:rsidRPr="00990A34">
        <w:rPr>
          <w:rStyle w:val="FootnoteReference"/>
          <w:rFonts w:ascii="Arial" w:hAnsi="Arial"/>
        </w:rPr>
        <w:footnoteRef/>
      </w:r>
      <w:r w:rsidRPr="00990A34">
        <w:rPr>
          <w:rFonts w:ascii="Arial" w:hAnsi="Arial"/>
        </w:rPr>
        <w:t xml:space="preserve"> Local Health and Care Records, Guidance on Meeting the duty of transparency dated 30 September 2019 </w:t>
      </w:r>
      <w:r>
        <w:rPr>
          <w:rFonts w:ascii="Arial" w:hAnsi="Arial"/>
        </w:rPr>
        <w:t xml:space="preserve">– Not yet publicly available but can be requested via </w:t>
      </w:r>
      <w:hyperlink r:id="rId1" w:history="1">
        <w:r w:rsidRPr="00A075DA">
          <w:rPr>
            <w:rStyle w:val="Hyperlink"/>
            <w:rFonts w:ascii="Arial" w:hAnsi="Arial"/>
          </w:rPr>
          <w:t>gmhscp.gmcr.dpo@nhs.net</w:t>
        </w:r>
      </w:hyperlink>
      <w:r>
        <w:rPr>
          <w:rFonts w:ascii="Arial" w:hAnsi="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7A20A" w14:textId="6C690B61" w:rsidR="00C66ACC" w:rsidRPr="00763EFF" w:rsidRDefault="00352B69" w:rsidP="00763EFF">
    <w:pPr>
      <w:pStyle w:val="Header"/>
      <w:ind w:left="7200"/>
    </w:pPr>
    <w:r>
      <w:rPr>
        <w:noProof/>
      </w:rPr>
      <w:drawing>
        <wp:anchor distT="0" distB="0" distL="114300" distR="114300" simplePos="0" relativeHeight="251659269" behindDoc="0" locked="0" layoutInCell="1" allowOverlap="1" wp14:anchorId="07EC291D" wp14:editId="672B363D">
          <wp:simplePos x="0" y="0"/>
          <wp:positionH relativeFrom="column">
            <wp:posOffset>5505450</wp:posOffset>
          </wp:positionH>
          <wp:positionV relativeFrom="paragraph">
            <wp:posOffset>-457200</wp:posOffset>
          </wp:positionV>
          <wp:extent cx="1076325" cy="964981"/>
          <wp:effectExtent l="0" t="0" r="0" b="0"/>
          <wp:wrapSquare wrapText="bothSides"/>
          <wp:docPr id="1" name="Picture 1" descr="Greater Manchester Integrated Care Partnership Logo - If you click it will take you through to the fron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er Manchester Integrated Care Partnership Logo - If you click it will take you through to the front 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964981"/>
                  </a:xfrm>
                  <a:prstGeom prst="rect">
                    <a:avLst/>
                  </a:prstGeom>
                  <a:noFill/>
                  <a:ln>
                    <a:noFill/>
                  </a:ln>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3C683" w14:textId="77777777" w:rsidR="00C66ACC" w:rsidRPr="00B20D70" w:rsidRDefault="00C66ACC" w:rsidP="00B20D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C7581" w14:textId="368F92AB" w:rsidR="00B76878" w:rsidRPr="00763EFF" w:rsidRDefault="00B76878" w:rsidP="00763EFF">
    <w:pPr>
      <w:pStyle w:val="Header"/>
      <w:ind w:left="7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18478" w14:textId="77777777" w:rsidR="00713C33" w:rsidRDefault="00713C33" w:rsidP="00BE5C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BFDA7" w14:textId="77777777" w:rsidR="00713C33" w:rsidRDefault="00713C33" w:rsidP="00BE5C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09B78" w14:textId="77777777" w:rsidR="00713C33" w:rsidRDefault="00713C33" w:rsidP="00BE5C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8245C" w14:textId="4E5BFE56" w:rsidR="00C93EF4" w:rsidRDefault="00C93EF4" w:rsidP="005577F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9BB8A" w14:textId="3A3916F0" w:rsidR="00C93EF4" w:rsidRDefault="00C93EF4" w:rsidP="005577F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A30D0" w14:textId="0D248DAE" w:rsidR="00C93EF4" w:rsidRDefault="00C93EF4" w:rsidP="005577F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EBCA9" w14:textId="77777777" w:rsidR="00950E97" w:rsidRDefault="00950E97" w:rsidP="00557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719B9"/>
    <w:multiLevelType w:val="hybridMultilevel"/>
    <w:tmpl w:val="D1C052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B8778CD"/>
    <w:multiLevelType w:val="hybridMultilevel"/>
    <w:tmpl w:val="DE923356"/>
    <w:lvl w:ilvl="0" w:tplc="01B4B54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04668"/>
    <w:multiLevelType w:val="multilevel"/>
    <w:tmpl w:val="6AF0F3D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92" w:hanging="432"/>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13E1F25"/>
    <w:multiLevelType w:val="multilevel"/>
    <w:tmpl w:val="0E9E3E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EB0BB5"/>
    <w:multiLevelType w:val="multilevel"/>
    <w:tmpl w:val="84FACE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12F57958"/>
    <w:multiLevelType w:val="multilevel"/>
    <w:tmpl w:val="DB24A120"/>
    <w:styleLink w:val="WWOutlineListStyle"/>
    <w:lvl w:ilvl="0">
      <w:start w:val="1"/>
      <w:numFmt w:val="decimal"/>
      <w:pStyle w:val="HD6Heading6"/>
      <w:lvlText w:val="%1."/>
      <w:lvlJc w:val="left"/>
      <w:pPr>
        <w:ind w:left="432" w:hanging="360"/>
      </w:pPr>
      <w:rPr>
        <w:rFonts w:cs="Arial"/>
      </w:rPr>
    </w:lvl>
    <w:lvl w:ilvl="1">
      <w:start w:val="1"/>
      <w:numFmt w:val="decimal"/>
      <w:lvlText w:val="%2."/>
      <w:lvlJc w:val="left"/>
      <w:pPr>
        <w:ind w:left="1152" w:hanging="360"/>
      </w:pPr>
      <w:rPr>
        <w:rFonts w:cs="Courier New"/>
      </w:rPr>
    </w:lvl>
    <w:lvl w:ilvl="2">
      <w:start w:val="1"/>
      <w:numFmt w:val="decimal"/>
      <w:lvlText w:val="%3."/>
      <w:lvlJc w:val="left"/>
      <w:pPr>
        <w:ind w:left="1872" w:hanging="360"/>
      </w:pPr>
      <w:rPr>
        <w:rFonts w:cs="Noto Sans Symbols"/>
      </w:rPr>
    </w:lvl>
    <w:lvl w:ilvl="3">
      <w:start w:val="1"/>
      <w:numFmt w:val="decimal"/>
      <w:lvlText w:val="%4."/>
      <w:lvlJc w:val="left"/>
      <w:pPr>
        <w:ind w:left="2592" w:hanging="360"/>
      </w:pPr>
      <w:rPr>
        <w:rFonts w:cs="Noto Sans Symbols"/>
      </w:rPr>
    </w:lvl>
    <w:lvl w:ilvl="4">
      <w:start w:val="1"/>
      <w:numFmt w:val="decimal"/>
      <w:lvlText w:val="%5."/>
      <w:lvlJc w:val="left"/>
      <w:pPr>
        <w:ind w:left="3312" w:hanging="360"/>
      </w:pPr>
      <w:rPr>
        <w:rFonts w:cs="Courier New"/>
      </w:rPr>
    </w:lvl>
    <w:lvl w:ilvl="5">
      <w:start w:val="1"/>
      <w:numFmt w:val="decimal"/>
      <w:lvlText w:val="%6."/>
      <w:lvlJc w:val="left"/>
      <w:pPr>
        <w:ind w:left="4032" w:hanging="360"/>
      </w:pPr>
      <w:rPr>
        <w:rFonts w:cs="Noto Sans Symbols"/>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7F524B8"/>
    <w:multiLevelType w:val="multilevel"/>
    <w:tmpl w:val="A77241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EA018E"/>
    <w:multiLevelType w:val="multilevel"/>
    <w:tmpl w:val="B84811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3CA01BD"/>
    <w:multiLevelType w:val="multilevel"/>
    <w:tmpl w:val="A77241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7A3A3D"/>
    <w:multiLevelType w:val="multilevel"/>
    <w:tmpl w:val="FD4AC1C0"/>
    <w:lvl w:ilvl="0">
      <w:numFmt w:val="bullet"/>
      <w:lvlText w:val=""/>
      <w:lvlJc w:val="left"/>
      <w:pPr>
        <w:ind w:left="656" w:hanging="360"/>
      </w:pPr>
      <w:rPr>
        <w:rFonts w:ascii="Symbol" w:hAnsi="Symbol"/>
      </w:rPr>
    </w:lvl>
    <w:lvl w:ilvl="1">
      <w:numFmt w:val="bullet"/>
      <w:lvlText w:val="o"/>
      <w:lvlJc w:val="left"/>
      <w:pPr>
        <w:ind w:left="1376" w:hanging="360"/>
      </w:pPr>
      <w:rPr>
        <w:rFonts w:ascii="Courier New" w:hAnsi="Courier New" w:cs="Courier New"/>
      </w:rPr>
    </w:lvl>
    <w:lvl w:ilvl="2">
      <w:numFmt w:val="bullet"/>
      <w:lvlText w:val=""/>
      <w:lvlJc w:val="left"/>
      <w:pPr>
        <w:ind w:left="2096" w:hanging="360"/>
      </w:pPr>
      <w:rPr>
        <w:rFonts w:ascii="Wingdings" w:hAnsi="Wingdings"/>
      </w:rPr>
    </w:lvl>
    <w:lvl w:ilvl="3">
      <w:numFmt w:val="bullet"/>
      <w:lvlText w:val=""/>
      <w:lvlJc w:val="left"/>
      <w:pPr>
        <w:ind w:left="2816" w:hanging="360"/>
      </w:pPr>
      <w:rPr>
        <w:rFonts w:ascii="Symbol" w:hAnsi="Symbol"/>
      </w:rPr>
    </w:lvl>
    <w:lvl w:ilvl="4">
      <w:numFmt w:val="bullet"/>
      <w:lvlText w:val="o"/>
      <w:lvlJc w:val="left"/>
      <w:pPr>
        <w:ind w:left="3536" w:hanging="360"/>
      </w:pPr>
      <w:rPr>
        <w:rFonts w:ascii="Courier New" w:hAnsi="Courier New" w:cs="Courier New"/>
      </w:rPr>
    </w:lvl>
    <w:lvl w:ilvl="5">
      <w:numFmt w:val="bullet"/>
      <w:lvlText w:val=""/>
      <w:lvlJc w:val="left"/>
      <w:pPr>
        <w:ind w:left="4256" w:hanging="360"/>
      </w:pPr>
      <w:rPr>
        <w:rFonts w:ascii="Wingdings" w:hAnsi="Wingdings"/>
      </w:rPr>
    </w:lvl>
    <w:lvl w:ilvl="6">
      <w:numFmt w:val="bullet"/>
      <w:lvlText w:val=""/>
      <w:lvlJc w:val="left"/>
      <w:pPr>
        <w:ind w:left="4976" w:hanging="360"/>
      </w:pPr>
      <w:rPr>
        <w:rFonts w:ascii="Symbol" w:hAnsi="Symbol"/>
      </w:rPr>
    </w:lvl>
    <w:lvl w:ilvl="7">
      <w:numFmt w:val="bullet"/>
      <w:lvlText w:val="o"/>
      <w:lvlJc w:val="left"/>
      <w:pPr>
        <w:ind w:left="5696" w:hanging="360"/>
      </w:pPr>
      <w:rPr>
        <w:rFonts w:ascii="Courier New" w:hAnsi="Courier New" w:cs="Courier New"/>
      </w:rPr>
    </w:lvl>
    <w:lvl w:ilvl="8">
      <w:numFmt w:val="bullet"/>
      <w:lvlText w:val=""/>
      <w:lvlJc w:val="left"/>
      <w:pPr>
        <w:ind w:left="6416" w:hanging="360"/>
      </w:pPr>
      <w:rPr>
        <w:rFonts w:ascii="Wingdings" w:hAnsi="Wingdings"/>
      </w:rPr>
    </w:lvl>
  </w:abstractNum>
  <w:abstractNum w:abstractNumId="10" w15:restartNumberingAfterBreak="0">
    <w:nsid w:val="43F13F20"/>
    <w:multiLevelType w:val="multilevel"/>
    <w:tmpl w:val="C318FF1C"/>
    <w:styleLink w:val="WWOutlineListStyle10"/>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3267" w:hanging="432"/>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24" w:hanging="504"/>
      </w:pPr>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8540CBB"/>
    <w:multiLevelType w:val="multilevel"/>
    <w:tmpl w:val="225EFBF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92" w:hanging="432"/>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B7460F8"/>
    <w:multiLevelType w:val="multilevel"/>
    <w:tmpl w:val="28DCDC5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4C5138"/>
    <w:multiLevelType w:val="multilevel"/>
    <w:tmpl w:val="1B7CD6A6"/>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536D5680"/>
    <w:multiLevelType w:val="hybridMultilevel"/>
    <w:tmpl w:val="80A47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7F4441"/>
    <w:multiLevelType w:val="multilevel"/>
    <w:tmpl w:val="8B361348"/>
    <w:styleLink w:val="WWOutlineList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E77944"/>
    <w:multiLevelType w:val="singleLevel"/>
    <w:tmpl w:val="54E77944"/>
    <w:lvl w:ilvl="0">
      <w:start w:val="25"/>
      <w:numFmt w:val="upperLetter"/>
      <w:lvlText w:val="%1."/>
      <w:lvlJc w:val="left"/>
      <w:pPr>
        <w:tabs>
          <w:tab w:val="left" w:pos="312"/>
        </w:tabs>
        <w:ind w:left="0" w:firstLine="0"/>
      </w:pPr>
    </w:lvl>
  </w:abstractNum>
  <w:abstractNum w:abstractNumId="17" w15:restartNumberingAfterBreak="0">
    <w:nsid w:val="56C35003"/>
    <w:multiLevelType w:val="multilevel"/>
    <w:tmpl w:val="A04298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AD44B42"/>
    <w:multiLevelType w:val="hybridMultilevel"/>
    <w:tmpl w:val="C75EE3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B7E3507"/>
    <w:multiLevelType w:val="multilevel"/>
    <w:tmpl w:val="347E28BE"/>
    <w:styleLink w:val="WWOutlineListStyle5"/>
    <w:lvl w:ilvl="0">
      <w:start w:val="1"/>
      <w:numFmt w:val="none"/>
      <w:lvlText w:val="%1"/>
      <w:lvlJc w:val="left"/>
    </w:lvl>
    <w:lvl w:ilvl="1">
      <w:start w:val="1"/>
      <w:numFmt w:val="decimal"/>
      <w:pStyle w:val="Heading2"/>
      <w:lvlText w:val="%2."/>
      <w:lvlJc w:val="left"/>
      <w:pPr>
        <w:ind w:left="360" w:hanging="360"/>
      </w:pPr>
    </w:lvl>
    <w:lvl w:ilvl="2">
      <w:start w:val="1"/>
      <w:numFmt w:val="decimal"/>
      <w:pStyle w:val="Heading3"/>
      <w:lvlText w:val="%1.%2.%3."/>
      <w:lvlJc w:val="left"/>
      <w:pPr>
        <w:ind w:left="5536" w:hanging="432"/>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1FA775A"/>
    <w:multiLevelType w:val="multilevel"/>
    <w:tmpl w:val="F3C0AB66"/>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92" w:hanging="432"/>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51103B8"/>
    <w:multiLevelType w:val="hybridMultilevel"/>
    <w:tmpl w:val="FA308916"/>
    <w:lvl w:ilvl="0" w:tplc="FA66DAC2">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AD658C9"/>
    <w:multiLevelType w:val="multilevel"/>
    <w:tmpl w:val="DD102D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E97604D"/>
    <w:multiLevelType w:val="multilevel"/>
    <w:tmpl w:val="8FB0DC54"/>
    <w:styleLink w:val="LFO1"/>
    <w:lvl w:ilvl="0">
      <w:start w:val="1"/>
      <w:numFmt w:val="decimal"/>
      <w:pStyle w:val="NoticeHeader"/>
      <w:lvlText w:val="%1"/>
      <w:lvlJc w:val="left"/>
      <w:pPr>
        <w:ind w:left="360" w:hanging="360"/>
      </w:pPr>
    </w:lvl>
    <w:lvl w:ilvl="1">
      <w:start w:val="1"/>
      <w:numFmt w:val="decimal"/>
      <w:lvlText w:val="%1.%2"/>
      <w:lvlJc w:val="left"/>
      <w:pPr>
        <w:ind w:left="645" w:hanging="465"/>
      </w:pPr>
      <w:rPr>
        <w:b w:val="0"/>
      </w:rPr>
    </w:lvl>
    <w:lvl w:ilvl="2">
      <w:start w:val="1"/>
      <w:numFmt w:val="decimal"/>
      <w:lvlText w:val="%1.%2.%3"/>
      <w:lvlJc w:val="left"/>
      <w:pPr>
        <w:ind w:left="810" w:hanging="720"/>
      </w:pPr>
    </w:lvl>
    <w:lvl w:ilvl="3">
      <w:start w:val="1"/>
      <w:numFmt w:val="decimal"/>
      <w:lvlText w:val="%1.%2.%3.%4"/>
      <w:lvlJc w:val="left"/>
      <w:pPr>
        <w:ind w:left="1215" w:hanging="1080"/>
      </w:pPr>
    </w:lvl>
    <w:lvl w:ilvl="4">
      <w:start w:val="1"/>
      <w:numFmt w:val="decimal"/>
      <w:lvlText w:val="%1.%2.%3.%4.%5"/>
      <w:lvlJc w:val="left"/>
      <w:pPr>
        <w:ind w:left="1260" w:hanging="1080"/>
      </w:pPr>
    </w:lvl>
    <w:lvl w:ilvl="5">
      <w:start w:val="1"/>
      <w:numFmt w:val="decimal"/>
      <w:lvlText w:val="%1.%2.%3.%4.%5.%6"/>
      <w:lvlJc w:val="left"/>
      <w:pPr>
        <w:ind w:left="1665" w:hanging="1440"/>
      </w:pPr>
    </w:lvl>
    <w:lvl w:ilvl="6">
      <w:start w:val="1"/>
      <w:numFmt w:val="decimal"/>
      <w:lvlText w:val="%1.%2.%3.%4.%5.%6.%7"/>
      <w:lvlJc w:val="left"/>
      <w:pPr>
        <w:ind w:left="1710" w:hanging="1440"/>
      </w:pPr>
    </w:lvl>
    <w:lvl w:ilvl="7">
      <w:start w:val="1"/>
      <w:numFmt w:val="decimal"/>
      <w:lvlText w:val="%1.%2.%3.%4.%5.%6.%7.%8"/>
      <w:lvlJc w:val="left"/>
      <w:pPr>
        <w:ind w:left="2115" w:hanging="1800"/>
      </w:pPr>
    </w:lvl>
    <w:lvl w:ilvl="8">
      <w:start w:val="1"/>
      <w:numFmt w:val="decimal"/>
      <w:lvlText w:val="%1.%2.%3.%4.%5.%6.%7.%8.%9"/>
      <w:lvlJc w:val="left"/>
      <w:pPr>
        <w:ind w:left="2160" w:hanging="1800"/>
      </w:pPr>
    </w:lvl>
  </w:abstractNum>
  <w:abstractNum w:abstractNumId="24" w15:restartNumberingAfterBreak="0">
    <w:nsid w:val="6F137D33"/>
    <w:multiLevelType w:val="hybridMultilevel"/>
    <w:tmpl w:val="D8143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5A36A3"/>
    <w:multiLevelType w:val="multilevel"/>
    <w:tmpl w:val="93767E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A1F4E0D"/>
    <w:multiLevelType w:val="multilevel"/>
    <w:tmpl w:val="18DAAD7A"/>
    <w:styleLink w:val="LFO15"/>
    <w:lvl w:ilvl="0">
      <w:start w:val="1"/>
      <w:numFmt w:val="decimal"/>
      <w:pStyle w:val="Normal1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6B5643"/>
    <w:multiLevelType w:val="multilevel"/>
    <w:tmpl w:val="3BF0CF58"/>
    <w:styleLink w:val="LFO2"/>
    <w:lvl w:ilvl="0">
      <w:numFmt w:val="bullet"/>
      <w:pStyle w:val="HD6Level9"/>
      <w:lvlText w:val="-"/>
      <w:lvlJc w:val="left"/>
      <w:pPr>
        <w:ind w:left="432" w:hanging="360"/>
      </w:pPr>
      <w:rPr>
        <w:rFonts w:ascii="Arial" w:eastAsia="Arial" w:hAnsi="Arial" w:cs="Arial"/>
      </w:rPr>
    </w:lvl>
    <w:lvl w:ilvl="1">
      <w:numFmt w:val="bullet"/>
      <w:lvlText w:val="o"/>
      <w:lvlJc w:val="left"/>
      <w:pPr>
        <w:ind w:left="1152" w:hanging="360"/>
      </w:pPr>
      <w:rPr>
        <w:rFonts w:ascii="Courier New" w:eastAsia="Courier New" w:hAnsi="Courier New" w:cs="Courier New"/>
      </w:rPr>
    </w:lvl>
    <w:lvl w:ilvl="2">
      <w:numFmt w:val="bullet"/>
      <w:lvlText w:val="▪"/>
      <w:lvlJc w:val="left"/>
      <w:pPr>
        <w:ind w:left="1872" w:hanging="360"/>
      </w:pPr>
      <w:rPr>
        <w:rFonts w:ascii="Noto Sans Symbols" w:eastAsia="Noto Sans Symbols" w:hAnsi="Noto Sans Symbols" w:cs="Noto Sans Symbols"/>
      </w:rPr>
    </w:lvl>
    <w:lvl w:ilvl="3">
      <w:numFmt w:val="bullet"/>
      <w:lvlText w:val="●"/>
      <w:lvlJc w:val="left"/>
      <w:pPr>
        <w:ind w:left="2592" w:hanging="360"/>
      </w:pPr>
      <w:rPr>
        <w:rFonts w:ascii="Noto Sans Symbols" w:eastAsia="Noto Sans Symbols" w:hAnsi="Noto Sans Symbols" w:cs="Noto Sans Symbols"/>
      </w:rPr>
    </w:lvl>
    <w:lvl w:ilvl="4">
      <w:numFmt w:val="bullet"/>
      <w:lvlText w:val="o"/>
      <w:lvlJc w:val="left"/>
      <w:pPr>
        <w:ind w:left="3312" w:hanging="360"/>
      </w:pPr>
      <w:rPr>
        <w:rFonts w:ascii="Courier New" w:eastAsia="Courier New" w:hAnsi="Courier New" w:cs="Courier New"/>
      </w:rPr>
    </w:lvl>
    <w:lvl w:ilvl="5">
      <w:numFmt w:val="bullet"/>
      <w:lvlText w:val="▪"/>
      <w:lvlJc w:val="left"/>
      <w:pPr>
        <w:ind w:left="4032" w:hanging="360"/>
      </w:pPr>
      <w:rPr>
        <w:rFonts w:ascii="Noto Sans Symbols" w:eastAsia="Noto Sans Symbols" w:hAnsi="Noto Sans Symbols" w:cs="Noto Sans Symbols"/>
      </w:rPr>
    </w:lvl>
    <w:lvl w:ilvl="6">
      <w:numFmt w:val="bullet"/>
      <w:lvlText w:val="●"/>
      <w:lvlJc w:val="left"/>
      <w:pPr>
        <w:ind w:left="4752" w:hanging="360"/>
      </w:pPr>
      <w:rPr>
        <w:rFonts w:ascii="Noto Sans Symbols" w:eastAsia="Noto Sans Symbols" w:hAnsi="Noto Sans Symbols" w:cs="Noto Sans Symbols"/>
      </w:rPr>
    </w:lvl>
    <w:lvl w:ilvl="7">
      <w:numFmt w:val="bullet"/>
      <w:lvlText w:val="o"/>
      <w:lvlJc w:val="left"/>
      <w:pPr>
        <w:ind w:left="5472" w:hanging="360"/>
      </w:pPr>
      <w:rPr>
        <w:rFonts w:ascii="Courier New" w:eastAsia="Courier New" w:hAnsi="Courier New" w:cs="Courier New"/>
      </w:rPr>
    </w:lvl>
    <w:lvl w:ilvl="8">
      <w:numFmt w:val="bullet"/>
      <w:lvlText w:val="▪"/>
      <w:lvlJc w:val="left"/>
      <w:pPr>
        <w:ind w:left="6192" w:hanging="360"/>
      </w:pPr>
      <w:rPr>
        <w:rFonts w:ascii="Noto Sans Symbols" w:eastAsia="Noto Sans Symbols" w:hAnsi="Noto Sans Symbols" w:cs="Noto Sans Symbols"/>
      </w:rPr>
    </w:lvl>
  </w:abstractNum>
  <w:num w:numId="1" w16cid:durableId="221909528">
    <w:abstractNumId w:val="19"/>
  </w:num>
  <w:num w:numId="2" w16cid:durableId="2079475499">
    <w:abstractNumId w:val="11"/>
  </w:num>
  <w:num w:numId="3" w16cid:durableId="1131090409">
    <w:abstractNumId w:val="20"/>
  </w:num>
  <w:num w:numId="4" w16cid:durableId="171990447">
    <w:abstractNumId w:val="2"/>
  </w:num>
  <w:num w:numId="5" w16cid:durableId="1058436928">
    <w:abstractNumId w:val="15"/>
  </w:num>
  <w:num w:numId="6" w16cid:durableId="1689943776">
    <w:abstractNumId w:val="5"/>
  </w:num>
  <w:num w:numId="7" w16cid:durableId="625505031">
    <w:abstractNumId w:val="23"/>
  </w:num>
  <w:num w:numId="8" w16cid:durableId="19431021">
    <w:abstractNumId w:val="27"/>
  </w:num>
  <w:num w:numId="9" w16cid:durableId="2060351524">
    <w:abstractNumId w:val="26"/>
  </w:num>
  <w:num w:numId="10" w16cid:durableId="2140224144">
    <w:abstractNumId w:val="4"/>
  </w:num>
  <w:num w:numId="11" w16cid:durableId="1230505141">
    <w:abstractNumId w:val="13"/>
  </w:num>
  <w:num w:numId="12" w16cid:durableId="1353340520">
    <w:abstractNumId w:val="22"/>
  </w:num>
  <w:num w:numId="13" w16cid:durableId="589510226">
    <w:abstractNumId w:val="17"/>
  </w:num>
  <w:num w:numId="14" w16cid:durableId="374234212">
    <w:abstractNumId w:val="25"/>
  </w:num>
  <w:num w:numId="15" w16cid:durableId="175273771">
    <w:abstractNumId w:val="9"/>
  </w:num>
  <w:num w:numId="16" w16cid:durableId="562182974">
    <w:abstractNumId w:val="3"/>
  </w:num>
  <w:num w:numId="17" w16cid:durableId="2020812835">
    <w:abstractNumId w:val="7"/>
  </w:num>
  <w:num w:numId="18" w16cid:durableId="1928808218">
    <w:abstractNumId w:val="19"/>
  </w:num>
  <w:num w:numId="19" w16cid:durableId="1194808486">
    <w:abstractNumId w:val="19"/>
  </w:num>
  <w:num w:numId="20" w16cid:durableId="1660306087">
    <w:abstractNumId w:val="10"/>
  </w:num>
  <w:num w:numId="21" w16cid:durableId="1367874185">
    <w:abstractNumId w:val="19"/>
  </w:num>
  <w:num w:numId="22" w16cid:durableId="1348748370">
    <w:abstractNumId w:val="19"/>
  </w:num>
  <w:num w:numId="23" w16cid:durableId="13970199">
    <w:abstractNumId w:val="19"/>
  </w:num>
  <w:num w:numId="24" w16cid:durableId="1715155985">
    <w:abstractNumId w:val="0"/>
  </w:num>
  <w:num w:numId="25" w16cid:durableId="1371226278">
    <w:abstractNumId w:val="8"/>
  </w:num>
  <w:num w:numId="26" w16cid:durableId="2023236653">
    <w:abstractNumId w:val="6"/>
  </w:num>
  <w:num w:numId="27" w16cid:durableId="873661971">
    <w:abstractNumId w:val="12"/>
  </w:num>
  <w:num w:numId="28" w16cid:durableId="1783109178">
    <w:abstractNumId w:val="18"/>
  </w:num>
  <w:num w:numId="29" w16cid:durableId="1084642690">
    <w:abstractNumId w:val="1"/>
  </w:num>
  <w:num w:numId="30" w16cid:durableId="1970356261">
    <w:abstractNumId w:val="21"/>
  </w:num>
  <w:num w:numId="31" w16cid:durableId="2381731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2651856">
    <w:abstractNumId w:val="19"/>
  </w:num>
  <w:num w:numId="33" w16cid:durableId="113794990">
    <w:abstractNumId w:val="14"/>
  </w:num>
  <w:num w:numId="34" w16cid:durableId="1902405424">
    <w:abstractNumId w:val="24"/>
  </w:num>
  <w:num w:numId="35" w16cid:durableId="520246937">
    <w:abstractNumId w:val="16"/>
    <w:lvlOverride w:ilvl="0">
      <w:startOverride w:val="2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A42A8"/>
    <w:rsid w:val="0000237C"/>
    <w:rsid w:val="00002668"/>
    <w:rsid w:val="00006A43"/>
    <w:rsid w:val="00010824"/>
    <w:rsid w:val="00011423"/>
    <w:rsid w:val="00011E59"/>
    <w:rsid w:val="00022AB6"/>
    <w:rsid w:val="00023786"/>
    <w:rsid w:val="00024F9E"/>
    <w:rsid w:val="00030973"/>
    <w:rsid w:val="00034172"/>
    <w:rsid w:val="00034FCC"/>
    <w:rsid w:val="00035496"/>
    <w:rsid w:val="000433B5"/>
    <w:rsid w:val="0004538D"/>
    <w:rsid w:val="00046042"/>
    <w:rsid w:val="00052A91"/>
    <w:rsid w:val="000578C6"/>
    <w:rsid w:val="000644EB"/>
    <w:rsid w:val="00066C07"/>
    <w:rsid w:val="000711E3"/>
    <w:rsid w:val="00080E18"/>
    <w:rsid w:val="00082B8F"/>
    <w:rsid w:val="00083726"/>
    <w:rsid w:val="00087D3E"/>
    <w:rsid w:val="000911AA"/>
    <w:rsid w:val="00093134"/>
    <w:rsid w:val="00094273"/>
    <w:rsid w:val="00095696"/>
    <w:rsid w:val="000A7EAA"/>
    <w:rsid w:val="000A7ECC"/>
    <w:rsid w:val="000B17DB"/>
    <w:rsid w:val="000B23BB"/>
    <w:rsid w:val="000B6167"/>
    <w:rsid w:val="000C6961"/>
    <w:rsid w:val="000D182B"/>
    <w:rsid w:val="000D2631"/>
    <w:rsid w:val="000E29D2"/>
    <w:rsid w:val="000F07AC"/>
    <w:rsid w:val="000F1ED3"/>
    <w:rsid w:val="000F5CEE"/>
    <w:rsid w:val="000F794B"/>
    <w:rsid w:val="00100C31"/>
    <w:rsid w:val="00101111"/>
    <w:rsid w:val="00106C18"/>
    <w:rsid w:val="00107045"/>
    <w:rsid w:val="00110486"/>
    <w:rsid w:val="00111EC2"/>
    <w:rsid w:val="0011255B"/>
    <w:rsid w:val="00112A7B"/>
    <w:rsid w:val="00112E77"/>
    <w:rsid w:val="00113F62"/>
    <w:rsid w:val="00117221"/>
    <w:rsid w:val="001204F9"/>
    <w:rsid w:val="00122670"/>
    <w:rsid w:val="001325A8"/>
    <w:rsid w:val="00136006"/>
    <w:rsid w:val="001368E2"/>
    <w:rsid w:val="00140B39"/>
    <w:rsid w:val="00141B09"/>
    <w:rsid w:val="00163403"/>
    <w:rsid w:val="00163E6C"/>
    <w:rsid w:val="00165B5C"/>
    <w:rsid w:val="00175532"/>
    <w:rsid w:val="00180EDF"/>
    <w:rsid w:val="001820DB"/>
    <w:rsid w:val="001846C5"/>
    <w:rsid w:val="00185362"/>
    <w:rsid w:val="001856F6"/>
    <w:rsid w:val="001941AF"/>
    <w:rsid w:val="00195E7D"/>
    <w:rsid w:val="00196993"/>
    <w:rsid w:val="001977E9"/>
    <w:rsid w:val="001A021C"/>
    <w:rsid w:val="001A2558"/>
    <w:rsid w:val="001A73FD"/>
    <w:rsid w:val="001B23E5"/>
    <w:rsid w:val="001B60A3"/>
    <w:rsid w:val="001C2F96"/>
    <w:rsid w:val="001C4F53"/>
    <w:rsid w:val="001D01D6"/>
    <w:rsid w:val="001D7120"/>
    <w:rsid w:val="001E278A"/>
    <w:rsid w:val="001F06B6"/>
    <w:rsid w:val="001F4157"/>
    <w:rsid w:val="001F529A"/>
    <w:rsid w:val="001F53C1"/>
    <w:rsid w:val="001F6E1B"/>
    <w:rsid w:val="0020004A"/>
    <w:rsid w:val="00201237"/>
    <w:rsid w:val="00202988"/>
    <w:rsid w:val="00203F36"/>
    <w:rsid w:val="00204818"/>
    <w:rsid w:val="00206DB4"/>
    <w:rsid w:val="00211787"/>
    <w:rsid w:val="00212C40"/>
    <w:rsid w:val="002167BA"/>
    <w:rsid w:val="0022276C"/>
    <w:rsid w:val="00222AE5"/>
    <w:rsid w:val="0022431A"/>
    <w:rsid w:val="0022526B"/>
    <w:rsid w:val="0022540F"/>
    <w:rsid w:val="00226BE2"/>
    <w:rsid w:val="00231251"/>
    <w:rsid w:val="0023217C"/>
    <w:rsid w:val="002406CA"/>
    <w:rsid w:val="00241FC9"/>
    <w:rsid w:val="00242D2C"/>
    <w:rsid w:val="00243347"/>
    <w:rsid w:val="002477AD"/>
    <w:rsid w:val="0025009D"/>
    <w:rsid w:val="002509A6"/>
    <w:rsid w:val="0026632F"/>
    <w:rsid w:val="00270526"/>
    <w:rsid w:val="00270589"/>
    <w:rsid w:val="00271303"/>
    <w:rsid w:val="00280F72"/>
    <w:rsid w:val="0028379A"/>
    <w:rsid w:val="0029146D"/>
    <w:rsid w:val="00291914"/>
    <w:rsid w:val="0029474F"/>
    <w:rsid w:val="00294FE2"/>
    <w:rsid w:val="002A3095"/>
    <w:rsid w:val="002B09A9"/>
    <w:rsid w:val="002B51C6"/>
    <w:rsid w:val="002C348C"/>
    <w:rsid w:val="002C5202"/>
    <w:rsid w:val="002D42B8"/>
    <w:rsid w:val="002F57ED"/>
    <w:rsid w:val="0030063C"/>
    <w:rsid w:val="0030476C"/>
    <w:rsid w:val="003049D2"/>
    <w:rsid w:val="00304D06"/>
    <w:rsid w:val="003124A1"/>
    <w:rsid w:val="00312D86"/>
    <w:rsid w:val="00313A71"/>
    <w:rsid w:val="00317F5A"/>
    <w:rsid w:val="00326678"/>
    <w:rsid w:val="003319C5"/>
    <w:rsid w:val="00332830"/>
    <w:rsid w:val="00337A25"/>
    <w:rsid w:val="003407A4"/>
    <w:rsid w:val="00342185"/>
    <w:rsid w:val="00347140"/>
    <w:rsid w:val="00347E96"/>
    <w:rsid w:val="00350194"/>
    <w:rsid w:val="00352B69"/>
    <w:rsid w:val="00356211"/>
    <w:rsid w:val="00364FDD"/>
    <w:rsid w:val="0037234D"/>
    <w:rsid w:val="00372AF4"/>
    <w:rsid w:val="0037706A"/>
    <w:rsid w:val="00377871"/>
    <w:rsid w:val="00382FCA"/>
    <w:rsid w:val="00385913"/>
    <w:rsid w:val="00386EA6"/>
    <w:rsid w:val="0039370F"/>
    <w:rsid w:val="00393E6B"/>
    <w:rsid w:val="003A1D8B"/>
    <w:rsid w:val="003A238A"/>
    <w:rsid w:val="003B0EC5"/>
    <w:rsid w:val="003C76C4"/>
    <w:rsid w:val="003D5E35"/>
    <w:rsid w:val="003D6474"/>
    <w:rsid w:val="003D75DE"/>
    <w:rsid w:val="003E7428"/>
    <w:rsid w:val="003E7487"/>
    <w:rsid w:val="003F59A2"/>
    <w:rsid w:val="003F74DA"/>
    <w:rsid w:val="0040470C"/>
    <w:rsid w:val="004105C9"/>
    <w:rsid w:val="00410CFF"/>
    <w:rsid w:val="004131E4"/>
    <w:rsid w:val="004174C2"/>
    <w:rsid w:val="00422ACC"/>
    <w:rsid w:val="004254AA"/>
    <w:rsid w:val="00426DDB"/>
    <w:rsid w:val="00435843"/>
    <w:rsid w:val="004366B2"/>
    <w:rsid w:val="004372A9"/>
    <w:rsid w:val="00444C44"/>
    <w:rsid w:val="004528B3"/>
    <w:rsid w:val="00457408"/>
    <w:rsid w:val="004616FB"/>
    <w:rsid w:val="00466E6E"/>
    <w:rsid w:val="0046720B"/>
    <w:rsid w:val="004725CA"/>
    <w:rsid w:val="004729CC"/>
    <w:rsid w:val="00486D7C"/>
    <w:rsid w:val="00492D79"/>
    <w:rsid w:val="0049311D"/>
    <w:rsid w:val="00494348"/>
    <w:rsid w:val="004945C5"/>
    <w:rsid w:val="004A021C"/>
    <w:rsid w:val="004B2DF6"/>
    <w:rsid w:val="004B2FF9"/>
    <w:rsid w:val="004B33CE"/>
    <w:rsid w:val="004C03D1"/>
    <w:rsid w:val="004C3108"/>
    <w:rsid w:val="004C6974"/>
    <w:rsid w:val="004C7186"/>
    <w:rsid w:val="004D155C"/>
    <w:rsid w:val="004D239A"/>
    <w:rsid w:val="004D287C"/>
    <w:rsid w:val="004D45F6"/>
    <w:rsid w:val="004D5FFF"/>
    <w:rsid w:val="004E0181"/>
    <w:rsid w:val="004E25DE"/>
    <w:rsid w:val="004E3648"/>
    <w:rsid w:val="004E4115"/>
    <w:rsid w:val="004F1B50"/>
    <w:rsid w:val="004F75A1"/>
    <w:rsid w:val="004F771E"/>
    <w:rsid w:val="004F7A11"/>
    <w:rsid w:val="00500D26"/>
    <w:rsid w:val="00501783"/>
    <w:rsid w:val="00506EF8"/>
    <w:rsid w:val="00513A3F"/>
    <w:rsid w:val="00513E03"/>
    <w:rsid w:val="00513EC0"/>
    <w:rsid w:val="00523DBF"/>
    <w:rsid w:val="00535E55"/>
    <w:rsid w:val="005417F2"/>
    <w:rsid w:val="00543D3F"/>
    <w:rsid w:val="005442EF"/>
    <w:rsid w:val="005442F0"/>
    <w:rsid w:val="00544BB6"/>
    <w:rsid w:val="005537D3"/>
    <w:rsid w:val="00555BB1"/>
    <w:rsid w:val="005577F0"/>
    <w:rsid w:val="005628EA"/>
    <w:rsid w:val="005630BF"/>
    <w:rsid w:val="00571F98"/>
    <w:rsid w:val="00573906"/>
    <w:rsid w:val="00583D13"/>
    <w:rsid w:val="00583D24"/>
    <w:rsid w:val="00585A1B"/>
    <w:rsid w:val="00590360"/>
    <w:rsid w:val="0059043A"/>
    <w:rsid w:val="0059385F"/>
    <w:rsid w:val="005957CD"/>
    <w:rsid w:val="00596A29"/>
    <w:rsid w:val="00596AC7"/>
    <w:rsid w:val="0059737D"/>
    <w:rsid w:val="005A06B6"/>
    <w:rsid w:val="005A4F8F"/>
    <w:rsid w:val="005B3FE1"/>
    <w:rsid w:val="005C3FEE"/>
    <w:rsid w:val="005C4502"/>
    <w:rsid w:val="005C61EE"/>
    <w:rsid w:val="005D6969"/>
    <w:rsid w:val="005D779D"/>
    <w:rsid w:val="005E1068"/>
    <w:rsid w:val="005E1AD0"/>
    <w:rsid w:val="005E3D65"/>
    <w:rsid w:val="005E4638"/>
    <w:rsid w:val="005E7818"/>
    <w:rsid w:val="005F12F5"/>
    <w:rsid w:val="005F3C13"/>
    <w:rsid w:val="005F43EB"/>
    <w:rsid w:val="005F631B"/>
    <w:rsid w:val="005F71FB"/>
    <w:rsid w:val="006016EF"/>
    <w:rsid w:val="00603D9C"/>
    <w:rsid w:val="006073CC"/>
    <w:rsid w:val="00607AB2"/>
    <w:rsid w:val="00613448"/>
    <w:rsid w:val="00624CA7"/>
    <w:rsid w:val="00631273"/>
    <w:rsid w:val="00632206"/>
    <w:rsid w:val="00641D60"/>
    <w:rsid w:val="006420BC"/>
    <w:rsid w:val="00644630"/>
    <w:rsid w:val="006457AC"/>
    <w:rsid w:val="00645850"/>
    <w:rsid w:val="00645A52"/>
    <w:rsid w:val="00647A09"/>
    <w:rsid w:val="00650BE5"/>
    <w:rsid w:val="00657F34"/>
    <w:rsid w:val="006602F2"/>
    <w:rsid w:val="00661372"/>
    <w:rsid w:val="00661DAA"/>
    <w:rsid w:val="00661EA5"/>
    <w:rsid w:val="0066325E"/>
    <w:rsid w:val="0066523D"/>
    <w:rsid w:val="006656C2"/>
    <w:rsid w:val="00666CDA"/>
    <w:rsid w:val="00670133"/>
    <w:rsid w:val="006750C1"/>
    <w:rsid w:val="00676AAC"/>
    <w:rsid w:val="0067743C"/>
    <w:rsid w:val="00677CF7"/>
    <w:rsid w:val="0068580C"/>
    <w:rsid w:val="00686DE8"/>
    <w:rsid w:val="006A194D"/>
    <w:rsid w:val="006A4398"/>
    <w:rsid w:val="006A7511"/>
    <w:rsid w:val="006B3FFA"/>
    <w:rsid w:val="006B5497"/>
    <w:rsid w:val="006B6A8B"/>
    <w:rsid w:val="006C2C84"/>
    <w:rsid w:val="006C6B9B"/>
    <w:rsid w:val="006D12F3"/>
    <w:rsid w:val="006D1A84"/>
    <w:rsid w:val="006E243F"/>
    <w:rsid w:val="006E7708"/>
    <w:rsid w:val="006F1BB7"/>
    <w:rsid w:val="006F436E"/>
    <w:rsid w:val="006F5889"/>
    <w:rsid w:val="006F7C41"/>
    <w:rsid w:val="0070240A"/>
    <w:rsid w:val="00702741"/>
    <w:rsid w:val="00704024"/>
    <w:rsid w:val="00706A81"/>
    <w:rsid w:val="00713C33"/>
    <w:rsid w:val="00721AA9"/>
    <w:rsid w:val="007266E3"/>
    <w:rsid w:val="007267CA"/>
    <w:rsid w:val="00727BC7"/>
    <w:rsid w:val="00730DD8"/>
    <w:rsid w:val="0073162C"/>
    <w:rsid w:val="00732186"/>
    <w:rsid w:val="0073660D"/>
    <w:rsid w:val="0073764D"/>
    <w:rsid w:val="007431AA"/>
    <w:rsid w:val="00744893"/>
    <w:rsid w:val="007502EA"/>
    <w:rsid w:val="00752296"/>
    <w:rsid w:val="00762AE5"/>
    <w:rsid w:val="0076381D"/>
    <w:rsid w:val="00763EFF"/>
    <w:rsid w:val="007673D9"/>
    <w:rsid w:val="00771B15"/>
    <w:rsid w:val="007751BF"/>
    <w:rsid w:val="007779FF"/>
    <w:rsid w:val="0078097E"/>
    <w:rsid w:val="00786F69"/>
    <w:rsid w:val="00790B2D"/>
    <w:rsid w:val="0079289F"/>
    <w:rsid w:val="00793264"/>
    <w:rsid w:val="00794D5E"/>
    <w:rsid w:val="00794DD5"/>
    <w:rsid w:val="007966A4"/>
    <w:rsid w:val="0079772C"/>
    <w:rsid w:val="00797C26"/>
    <w:rsid w:val="007B1175"/>
    <w:rsid w:val="007B1EE4"/>
    <w:rsid w:val="007B326A"/>
    <w:rsid w:val="007B3962"/>
    <w:rsid w:val="007B4B94"/>
    <w:rsid w:val="007B5A89"/>
    <w:rsid w:val="007C12F0"/>
    <w:rsid w:val="007C227A"/>
    <w:rsid w:val="007C28B0"/>
    <w:rsid w:val="007C50AC"/>
    <w:rsid w:val="007C5B6E"/>
    <w:rsid w:val="007C66EE"/>
    <w:rsid w:val="007C75A2"/>
    <w:rsid w:val="007C7A7C"/>
    <w:rsid w:val="007C7CF5"/>
    <w:rsid w:val="007C7FE9"/>
    <w:rsid w:val="007D3E73"/>
    <w:rsid w:val="007D6136"/>
    <w:rsid w:val="007D6FDC"/>
    <w:rsid w:val="007E068A"/>
    <w:rsid w:val="007E0852"/>
    <w:rsid w:val="007E1DC3"/>
    <w:rsid w:val="007F0F1D"/>
    <w:rsid w:val="007F60CE"/>
    <w:rsid w:val="007F6367"/>
    <w:rsid w:val="007F7E35"/>
    <w:rsid w:val="007F7FFB"/>
    <w:rsid w:val="008015CC"/>
    <w:rsid w:val="00801958"/>
    <w:rsid w:val="00801D42"/>
    <w:rsid w:val="00803D42"/>
    <w:rsid w:val="00805553"/>
    <w:rsid w:val="008107F3"/>
    <w:rsid w:val="00811643"/>
    <w:rsid w:val="008122F1"/>
    <w:rsid w:val="008142E3"/>
    <w:rsid w:val="008170A0"/>
    <w:rsid w:val="0082329C"/>
    <w:rsid w:val="00823EF9"/>
    <w:rsid w:val="008251CD"/>
    <w:rsid w:val="008300FA"/>
    <w:rsid w:val="00830C06"/>
    <w:rsid w:val="00841056"/>
    <w:rsid w:val="00841C2D"/>
    <w:rsid w:val="008473B7"/>
    <w:rsid w:val="008631D9"/>
    <w:rsid w:val="0086765A"/>
    <w:rsid w:val="00867705"/>
    <w:rsid w:val="00872EC6"/>
    <w:rsid w:val="008777CC"/>
    <w:rsid w:val="00881DBD"/>
    <w:rsid w:val="00881F28"/>
    <w:rsid w:val="008847A5"/>
    <w:rsid w:val="00891C3F"/>
    <w:rsid w:val="0089775B"/>
    <w:rsid w:val="008A07B3"/>
    <w:rsid w:val="008A4DA9"/>
    <w:rsid w:val="008A51B6"/>
    <w:rsid w:val="008A59C9"/>
    <w:rsid w:val="008B00ED"/>
    <w:rsid w:val="008B55E8"/>
    <w:rsid w:val="008B5998"/>
    <w:rsid w:val="008B6F4E"/>
    <w:rsid w:val="008B7C4F"/>
    <w:rsid w:val="008C584C"/>
    <w:rsid w:val="008D2825"/>
    <w:rsid w:val="008D2F7B"/>
    <w:rsid w:val="008E06B3"/>
    <w:rsid w:val="008E086E"/>
    <w:rsid w:val="008E2D60"/>
    <w:rsid w:val="008E5557"/>
    <w:rsid w:val="008E6BA7"/>
    <w:rsid w:val="008E6EF5"/>
    <w:rsid w:val="008F360A"/>
    <w:rsid w:val="008F4F4B"/>
    <w:rsid w:val="008F6DCE"/>
    <w:rsid w:val="008F78E5"/>
    <w:rsid w:val="009009D3"/>
    <w:rsid w:val="00904DE7"/>
    <w:rsid w:val="00911681"/>
    <w:rsid w:val="009135D0"/>
    <w:rsid w:val="00920006"/>
    <w:rsid w:val="009262F8"/>
    <w:rsid w:val="00930B97"/>
    <w:rsid w:val="009317E2"/>
    <w:rsid w:val="009431CA"/>
    <w:rsid w:val="00943CA3"/>
    <w:rsid w:val="00944912"/>
    <w:rsid w:val="00950E97"/>
    <w:rsid w:val="00955624"/>
    <w:rsid w:val="009647E8"/>
    <w:rsid w:val="009648B8"/>
    <w:rsid w:val="00970BC7"/>
    <w:rsid w:val="00970FFB"/>
    <w:rsid w:val="00980DA2"/>
    <w:rsid w:val="00981F10"/>
    <w:rsid w:val="00983A31"/>
    <w:rsid w:val="00993B1A"/>
    <w:rsid w:val="00993F24"/>
    <w:rsid w:val="009A01A4"/>
    <w:rsid w:val="009A2FB3"/>
    <w:rsid w:val="009A4076"/>
    <w:rsid w:val="009A5FF8"/>
    <w:rsid w:val="009A6B50"/>
    <w:rsid w:val="009B1330"/>
    <w:rsid w:val="009B556D"/>
    <w:rsid w:val="009D0BF2"/>
    <w:rsid w:val="009D7F3D"/>
    <w:rsid w:val="009E0A41"/>
    <w:rsid w:val="009E16AB"/>
    <w:rsid w:val="009E4818"/>
    <w:rsid w:val="009E4E43"/>
    <w:rsid w:val="009E5BAD"/>
    <w:rsid w:val="009E6F21"/>
    <w:rsid w:val="009F03BF"/>
    <w:rsid w:val="009F056A"/>
    <w:rsid w:val="009F0C20"/>
    <w:rsid w:val="009F2DAE"/>
    <w:rsid w:val="00A06352"/>
    <w:rsid w:val="00A13E37"/>
    <w:rsid w:val="00A14CF8"/>
    <w:rsid w:val="00A314B6"/>
    <w:rsid w:val="00A34557"/>
    <w:rsid w:val="00A36FF5"/>
    <w:rsid w:val="00A40BE1"/>
    <w:rsid w:val="00A56E57"/>
    <w:rsid w:val="00A63300"/>
    <w:rsid w:val="00A64B72"/>
    <w:rsid w:val="00A65644"/>
    <w:rsid w:val="00A67552"/>
    <w:rsid w:val="00A70909"/>
    <w:rsid w:val="00A71EA3"/>
    <w:rsid w:val="00A82071"/>
    <w:rsid w:val="00A83C7A"/>
    <w:rsid w:val="00A854B7"/>
    <w:rsid w:val="00A87F68"/>
    <w:rsid w:val="00A9166E"/>
    <w:rsid w:val="00A92861"/>
    <w:rsid w:val="00A933FD"/>
    <w:rsid w:val="00A93913"/>
    <w:rsid w:val="00AA06ED"/>
    <w:rsid w:val="00AA0BC2"/>
    <w:rsid w:val="00AB044B"/>
    <w:rsid w:val="00AB47B9"/>
    <w:rsid w:val="00AB7A02"/>
    <w:rsid w:val="00AC1865"/>
    <w:rsid w:val="00AC29DB"/>
    <w:rsid w:val="00AC3E57"/>
    <w:rsid w:val="00AD4AA2"/>
    <w:rsid w:val="00AE177B"/>
    <w:rsid w:val="00AE3346"/>
    <w:rsid w:val="00AE504C"/>
    <w:rsid w:val="00AE7A3E"/>
    <w:rsid w:val="00AF1B68"/>
    <w:rsid w:val="00B01B6E"/>
    <w:rsid w:val="00B04370"/>
    <w:rsid w:val="00B06A3D"/>
    <w:rsid w:val="00B12F10"/>
    <w:rsid w:val="00B148E1"/>
    <w:rsid w:val="00B161E3"/>
    <w:rsid w:val="00B17626"/>
    <w:rsid w:val="00B20D70"/>
    <w:rsid w:val="00B21870"/>
    <w:rsid w:val="00B21C86"/>
    <w:rsid w:val="00B26EED"/>
    <w:rsid w:val="00B31DB2"/>
    <w:rsid w:val="00B34535"/>
    <w:rsid w:val="00B36093"/>
    <w:rsid w:val="00B46AA5"/>
    <w:rsid w:val="00B6257B"/>
    <w:rsid w:val="00B64C36"/>
    <w:rsid w:val="00B6536A"/>
    <w:rsid w:val="00B71129"/>
    <w:rsid w:val="00B733A8"/>
    <w:rsid w:val="00B7430C"/>
    <w:rsid w:val="00B76878"/>
    <w:rsid w:val="00B812B2"/>
    <w:rsid w:val="00B82E05"/>
    <w:rsid w:val="00B87216"/>
    <w:rsid w:val="00B900FD"/>
    <w:rsid w:val="00B957B1"/>
    <w:rsid w:val="00B97062"/>
    <w:rsid w:val="00BA3BD4"/>
    <w:rsid w:val="00BA42A8"/>
    <w:rsid w:val="00BA643A"/>
    <w:rsid w:val="00BB2207"/>
    <w:rsid w:val="00BB659E"/>
    <w:rsid w:val="00BB7300"/>
    <w:rsid w:val="00BC068D"/>
    <w:rsid w:val="00BC1099"/>
    <w:rsid w:val="00BC471F"/>
    <w:rsid w:val="00BC60A0"/>
    <w:rsid w:val="00BD089C"/>
    <w:rsid w:val="00BE1942"/>
    <w:rsid w:val="00BE7843"/>
    <w:rsid w:val="00BF259C"/>
    <w:rsid w:val="00BF37BB"/>
    <w:rsid w:val="00BF79C2"/>
    <w:rsid w:val="00C00506"/>
    <w:rsid w:val="00C00736"/>
    <w:rsid w:val="00C0444D"/>
    <w:rsid w:val="00C04AB0"/>
    <w:rsid w:val="00C05363"/>
    <w:rsid w:val="00C077CD"/>
    <w:rsid w:val="00C16216"/>
    <w:rsid w:val="00C23BB6"/>
    <w:rsid w:val="00C246F9"/>
    <w:rsid w:val="00C32CA1"/>
    <w:rsid w:val="00C34E9D"/>
    <w:rsid w:val="00C41FFB"/>
    <w:rsid w:val="00C44A0D"/>
    <w:rsid w:val="00C46633"/>
    <w:rsid w:val="00C46AFD"/>
    <w:rsid w:val="00C54196"/>
    <w:rsid w:val="00C55441"/>
    <w:rsid w:val="00C60E7B"/>
    <w:rsid w:val="00C62DAB"/>
    <w:rsid w:val="00C66ACC"/>
    <w:rsid w:val="00C71239"/>
    <w:rsid w:val="00C72D43"/>
    <w:rsid w:val="00C74339"/>
    <w:rsid w:val="00C74FAD"/>
    <w:rsid w:val="00C80550"/>
    <w:rsid w:val="00C80578"/>
    <w:rsid w:val="00C8085B"/>
    <w:rsid w:val="00C85F3B"/>
    <w:rsid w:val="00C86EB0"/>
    <w:rsid w:val="00C87CE8"/>
    <w:rsid w:val="00C87EAF"/>
    <w:rsid w:val="00C93EF4"/>
    <w:rsid w:val="00C95101"/>
    <w:rsid w:val="00CA187C"/>
    <w:rsid w:val="00CA49D6"/>
    <w:rsid w:val="00CA5884"/>
    <w:rsid w:val="00CA59E9"/>
    <w:rsid w:val="00CA7652"/>
    <w:rsid w:val="00CB2165"/>
    <w:rsid w:val="00CB4F5E"/>
    <w:rsid w:val="00CC3DE0"/>
    <w:rsid w:val="00CC6427"/>
    <w:rsid w:val="00CD4B5C"/>
    <w:rsid w:val="00CD5993"/>
    <w:rsid w:val="00CD6A06"/>
    <w:rsid w:val="00CD70A6"/>
    <w:rsid w:val="00CD715F"/>
    <w:rsid w:val="00CE30C8"/>
    <w:rsid w:val="00CE44A5"/>
    <w:rsid w:val="00CE51E1"/>
    <w:rsid w:val="00CE599C"/>
    <w:rsid w:val="00CE65DF"/>
    <w:rsid w:val="00CE6D1E"/>
    <w:rsid w:val="00CE7046"/>
    <w:rsid w:val="00CF1B5B"/>
    <w:rsid w:val="00CF1C55"/>
    <w:rsid w:val="00CF3472"/>
    <w:rsid w:val="00CF582A"/>
    <w:rsid w:val="00D0335E"/>
    <w:rsid w:val="00D05E55"/>
    <w:rsid w:val="00D078A1"/>
    <w:rsid w:val="00D07BA3"/>
    <w:rsid w:val="00D1190E"/>
    <w:rsid w:val="00D12A6C"/>
    <w:rsid w:val="00D15738"/>
    <w:rsid w:val="00D15AB6"/>
    <w:rsid w:val="00D22286"/>
    <w:rsid w:val="00D23E91"/>
    <w:rsid w:val="00D30A55"/>
    <w:rsid w:val="00D444FB"/>
    <w:rsid w:val="00D45B51"/>
    <w:rsid w:val="00D615A8"/>
    <w:rsid w:val="00D63592"/>
    <w:rsid w:val="00D63907"/>
    <w:rsid w:val="00D63F9F"/>
    <w:rsid w:val="00D64426"/>
    <w:rsid w:val="00D7003C"/>
    <w:rsid w:val="00D70988"/>
    <w:rsid w:val="00D742EE"/>
    <w:rsid w:val="00D74D82"/>
    <w:rsid w:val="00D76215"/>
    <w:rsid w:val="00D7699D"/>
    <w:rsid w:val="00D77FDC"/>
    <w:rsid w:val="00D832B6"/>
    <w:rsid w:val="00D86064"/>
    <w:rsid w:val="00D92F30"/>
    <w:rsid w:val="00D94EC3"/>
    <w:rsid w:val="00D95438"/>
    <w:rsid w:val="00D95E86"/>
    <w:rsid w:val="00D9621F"/>
    <w:rsid w:val="00D976C9"/>
    <w:rsid w:val="00DA1A8A"/>
    <w:rsid w:val="00DB22C8"/>
    <w:rsid w:val="00DB4591"/>
    <w:rsid w:val="00DB5913"/>
    <w:rsid w:val="00DC1D1D"/>
    <w:rsid w:val="00DC63D3"/>
    <w:rsid w:val="00DC7DE8"/>
    <w:rsid w:val="00DD07BF"/>
    <w:rsid w:val="00DD0B26"/>
    <w:rsid w:val="00DD67FD"/>
    <w:rsid w:val="00DD79C9"/>
    <w:rsid w:val="00DD7B9D"/>
    <w:rsid w:val="00DF027A"/>
    <w:rsid w:val="00DF3D45"/>
    <w:rsid w:val="00E021C8"/>
    <w:rsid w:val="00E10D9E"/>
    <w:rsid w:val="00E13648"/>
    <w:rsid w:val="00E1489C"/>
    <w:rsid w:val="00E163C7"/>
    <w:rsid w:val="00E2028E"/>
    <w:rsid w:val="00E20884"/>
    <w:rsid w:val="00E22864"/>
    <w:rsid w:val="00E24DC7"/>
    <w:rsid w:val="00E3551C"/>
    <w:rsid w:val="00E410D4"/>
    <w:rsid w:val="00E44BFF"/>
    <w:rsid w:val="00E53B41"/>
    <w:rsid w:val="00E66A83"/>
    <w:rsid w:val="00E705D2"/>
    <w:rsid w:val="00E70BED"/>
    <w:rsid w:val="00E72779"/>
    <w:rsid w:val="00E72F50"/>
    <w:rsid w:val="00E742A4"/>
    <w:rsid w:val="00E778F2"/>
    <w:rsid w:val="00E82592"/>
    <w:rsid w:val="00E85384"/>
    <w:rsid w:val="00E859A2"/>
    <w:rsid w:val="00E878CC"/>
    <w:rsid w:val="00E92A68"/>
    <w:rsid w:val="00E93D9C"/>
    <w:rsid w:val="00EA2035"/>
    <w:rsid w:val="00EA5D03"/>
    <w:rsid w:val="00EA5E06"/>
    <w:rsid w:val="00EA7EB3"/>
    <w:rsid w:val="00EB12FD"/>
    <w:rsid w:val="00EB57A7"/>
    <w:rsid w:val="00EB7CD6"/>
    <w:rsid w:val="00EC423D"/>
    <w:rsid w:val="00EC656D"/>
    <w:rsid w:val="00ED17F0"/>
    <w:rsid w:val="00ED5077"/>
    <w:rsid w:val="00ED5570"/>
    <w:rsid w:val="00EE3692"/>
    <w:rsid w:val="00EF089B"/>
    <w:rsid w:val="00EF13AD"/>
    <w:rsid w:val="00EF3433"/>
    <w:rsid w:val="00EF63F9"/>
    <w:rsid w:val="00EF687F"/>
    <w:rsid w:val="00F025AA"/>
    <w:rsid w:val="00F02DB1"/>
    <w:rsid w:val="00F04164"/>
    <w:rsid w:val="00F0492D"/>
    <w:rsid w:val="00F05945"/>
    <w:rsid w:val="00F06E1F"/>
    <w:rsid w:val="00F128BC"/>
    <w:rsid w:val="00F22000"/>
    <w:rsid w:val="00F22829"/>
    <w:rsid w:val="00F31EA5"/>
    <w:rsid w:val="00F32216"/>
    <w:rsid w:val="00F32502"/>
    <w:rsid w:val="00F36450"/>
    <w:rsid w:val="00F40558"/>
    <w:rsid w:val="00F42852"/>
    <w:rsid w:val="00F45F00"/>
    <w:rsid w:val="00F469A5"/>
    <w:rsid w:val="00F4765C"/>
    <w:rsid w:val="00F47882"/>
    <w:rsid w:val="00F53AA1"/>
    <w:rsid w:val="00F60DFB"/>
    <w:rsid w:val="00F611A7"/>
    <w:rsid w:val="00F63B72"/>
    <w:rsid w:val="00F66565"/>
    <w:rsid w:val="00F81CB5"/>
    <w:rsid w:val="00F82007"/>
    <w:rsid w:val="00F908BD"/>
    <w:rsid w:val="00FA5F81"/>
    <w:rsid w:val="00FA7EF8"/>
    <w:rsid w:val="00FB762B"/>
    <w:rsid w:val="00FC2556"/>
    <w:rsid w:val="00FC3FE4"/>
    <w:rsid w:val="00FD1CA4"/>
    <w:rsid w:val="00FD37E7"/>
    <w:rsid w:val="00FD7248"/>
    <w:rsid w:val="00FD7480"/>
    <w:rsid w:val="00FE384D"/>
    <w:rsid w:val="00FE3DD9"/>
    <w:rsid w:val="00FE7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A35B2"/>
  <w15:docId w15:val="{5709335F-2CBC-47F1-8C8D-C049E8FC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autoSpaceDN w:val="0"/>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pPr>
    <w:rPr>
      <w:lang w:eastAsia="en-US"/>
    </w:rPr>
  </w:style>
  <w:style w:type="paragraph" w:styleId="Heading1">
    <w:name w:val="heading 1"/>
    <w:basedOn w:val="Level1"/>
    <w:next w:val="Level2"/>
    <w:uiPriority w:val="9"/>
    <w:qFormat/>
    <w:pPr>
      <w:overflowPunct/>
      <w:autoSpaceDE/>
      <w:jc w:val="left"/>
      <w:textAlignment w:val="auto"/>
      <w:outlineLvl w:val="0"/>
    </w:pPr>
    <w:rPr>
      <w:b/>
      <w:bCs/>
      <w:caps/>
      <w:szCs w:val="32"/>
    </w:rPr>
  </w:style>
  <w:style w:type="paragraph" w:styleId="Heading2">
    <w:name w:val="heading 2"/>
    <w:basedOn w:val="Level2"/>
    <w:next w:val="Level3"/>
    <w:link w:val="Heading2Char"/>
    <w:uiPriority w:val="9"/>
    <w:unhideWhenUsed/>
    <w:qFormat/>
    <w:pPr>
      <w:numPr>
        <w:ilvl w:val="1"/>
        <w:numId w:val="1"/>
      </w:numPr>
      <w:overflowPunct/>
      <w:autoSpaceDE/>
      <w:jc w:val="left"/>
      <w:textAlignment w:val="auto"/>
      <w:outlineLvl w:val="1"/>
    </w:pPr>
    <w:rPr>
      <w:b/>
      <w:iCs/>
      <w:szCs w:val="28"/>
    </w:rPr>
  </w:style>
  <w:style w:type="paragraph" w:styleId="Heading3">
    <w:name w:val="heading 3"/>
    <w:basedOn w:val="Heading2"/>
    <w:next w:val="Level4"/>
    <w:uiPriority w:val="9"/>
    <w:unhideWhenUsed/>
    <w:qFormat/>
    <w:rsid w:val="005F631B"/>
    <w:pPr>
      <w:numPr>
        <w:ilvl w:val="2"/>
      </w:numPr>
      <w:spacing w:line="252" w:lineRule="auto"/>
      <w:ind w:left="998" w:hanging="431"/>
      <w:jc w:val="both"/>
      <w:outlineLvl w:val="2"/>
    </w:pPr>
    <w:rPr>
      <w:b w:val="0"/>
      <w:bCs/>
    </w:rPr>
  </w:style>
  <w:style w:type="paragraph" w:styleId="Heading4">
    <w:name w:val="heading 4"/>
    <w:basedOn w:val="Level4"/>
    <w:next w:val="Level5"/>
    <w:uiPriority w:val="9"/>
    <w:unhideWhenUsed/>
    <w:qFormat/>
    <w:pPr>
      <w:overflowPunct/>
      <w:autoSpaceDE/>
      <w:jc w:val="left"/>
      <w:textAlignment w:val="auto"/>
      <w:outlineLvl w:val="3"/>
    </w:pPr>
    <w:rPr>
      <w:b/>
      <w:iCs/>
      <w:szCs w:val="28"/>
    </w:rPr>
  </w:style>
  <w:style w:type="paragraph" w:styleId="Heading5">
    <w:name w:val="heading 5"/>
    <w:basedOn w:val="Level5"/>
    <w:next w:val="Level5"/>
    <w:uiPriority w:val="9"/>
    <w:semiHidden/>
    <w:unhideWhenUsed/>
    <w:qFormat/>
    <w:pPr>
      <w:overflowPunct/>
      <w:autoSpaceDE/>
      <w:ind w:left="2551"/>
      <w:jc w:val="left"/>
      <w:textAlignment w:val="auto"/>
      <w:outlineLvl w:val="4"/>
    </w:pPr>
    <w:rPr>
      <w:b/>
      <w:bCs/>
      <w:iCs/>
      <w:szCs w:val="26"/>
    </w:rPr>
  </w:style>
  <w:style w:type="paragraph" w:styleId="Heading6">
    <w:name w:val="heading 6"/>
    <w:basedOn w:val="Level6"/>
    <w:next w:val="Level5"/>
    <w:uiPriority w:val="9"/>
    <w:semiHidden/>
    <w:unhideWhenUsed/>
    <w:qFormat/>
    <w:pPr>
      <w:overflowPunct/>
      <w:autoSpaceDE/>
      <w:ind w:left="2551"/>
      <w:jc w:val="left"/>
      <w:textAlignment w:val="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paragraph" w:customStyle="1" w:styleId="HD6Heading1">
    <w:name w:val="HD6 Heading 1"/>
    <w:basedOn w:val="HD6Level1"/>
    <w:next w:val="HD6Level2"/>
    <w:pPr>
      <w:keepNext/>
      <w:jc w:val="left"/>
      <w:outlineLvl w:val="0"/>
    </w:pPr>
    <w:rPr>
      <w:b/>
      <w:caps/>
    </w:rPr>
  </w:style>
  <w:style w:type="paragraph" w:customStyle="1" w:styleId="HD6Heading2">
    <w:name w:val="HD6 Heading 2"/>
    <w:basedOn w:val="HD6Level2"/>
    <w:next w:val="HD6Level3"/>
    <w:pPr>
      <w:keepNext/>
      <w:jc w:val="left"/>
      <w:outlineLvl w:val="1"/>
    </w:pPr>
    <w:rPr>
      <w:b/>
    </w:rPr>
  </w:style>
  <w:style w:type="paragraph" w:customStyle="1" w:styleId="HD6Heading3">
    <w:name w:val="HD6 Heading 3"/>
    <w:basedOn w:val="HD6Level3"/>
    <w:next w:val="HD6Level4"/>
    <w:pPr>
      <w:keepNext/>
      <w:jc w:val="left"/>
      <w:outlineLvl w:val="2"/>
    </w:pPr>
    <w:rPr>
      <w:b/>
    </w:rPr>
  </w:style>
  <w:style w:type="paragraph" w:customStyle="1" w:styleId="HD6Heading4">
    <w:name w:val="HD6 Heading 4"/>
    <w:basedOn w:val="HD6Level4"/>
    <w:next w:val="HD6Level5"/>
    <w:pPr>
      <w:keepNext/>
      <w:jc w:val="left"/>
      <w:outlineLvl w:val="3"/>
    </w:pPr>
    <w:rPr>
      <w:b/>
    </w:rPr>
  </w:style>
  <w:style w:type="paragraph" w:customStyle="1" w:styleId="HD6Heading5">
    <w:name w:val="HD6 Heading 5"/>
    <w:basedOn w:val="HD6Level5"/>
    <w:next w:val="HD6Level6"/>
    <w:pPr>
      <w:keepNext/>
      <w:jc w:val="left"/>
      <w:outlineLvl w:val="4"/>
    </w:pPr>
    <w:rPr>
      <w:b/>
    </w:rPr>
  </w:style>
  <w:style w:type="paragraph" w:customStyle="1" w:styleId="HD6Heading6">
    <w:name w:val="HD6 Heading 6"/>
    <w:basedOn w:val="HD6Level6"/>
    <w:next w:val="HD6Level7"/>
    <w:pPr>
      <w:keepNext/>
      <w:numPr>
        <w:numId w:val="6"/>
      </w:numPr>
      <w:jc w:val="left"/>
      <w:outlineLvl w:val="5"/>
    </w:pPr>
    <w:rPr>
      <w:b/>
    </w:rPr>
  </w:style>
  <w:style w:type="paragraph" w:styleId="Title">
    <w:name w:val="Title"/>
    <w:basedOn w:val="Normal"/>
    <w:next w:val="Normal"/>
    <w:link w:val="TitleChar"/>
    <w:uiPriority w:val="10"/>
    <w:qFormat/>
    <w:pPr>
      <w:keepNext/>
      <w:keepLines/>
      <w:spacing w:before="480" w:after="120"/>
    </w:pPr>
    <w:rPr>
      <w:b/>
      <w:sz w:val="72"/>
      <w:szCs w:val="72"/>
    </w:rPr>
  </w:style>
  <w:style w:type="paragraph" w:customStyle="1" w:styleId="Level1">
    <w:name w:val="Level 1"/>
    <w:basedOn w:val="Normal"/>
    <w:pPr>
      <w:keepNext/>
      <w:spacing w:after="240" w:line="312" w:lineRule="auto"/>
    </w:pPr>
  </w:style>
  <w:style w:type="paragraph" w:customStyle="1" w:styleId="Level2">
    <w:name w:val="Level 2"/>
    <w:basedOn w:val="Level1"/>
    <w:pPr>
      <w:ind w:left="709"/>
    </w:pPr>
  </w:style>
  <w:style w:type="paragraph" w:customStyle="1" w:styleId="Level3">
    <w:name w:val="Level 3"/>
    <w:basedOn w:val="Level2"/>
    <w:pPr>
      <w:ind w:left="1559"/>
    </w:pPr>
  </w:style>
  <w:style w:type="paragraph" w:customStyle="1" w:styleId="Level4">
    <w:name w:val="Level 4"/>
    <w:basedOn w:val="Level3"/>
    <w:pPr>
      <w:ind w:left="2551"/>
    </w:pPr>
  </w:style>
  <w:style w:type="paragraph" w:customStyle="1" w:styleId="Level5">
    <w:name w:val="Level 5"/>
    <w:basedOn w:val="Level4"/>
    <w:pPr>
      <w:ind w:left="3685"/>
    </w:pPr>
  </w:style>
  <w:style w:type="paragraph" w:customStyle="1" w:styleId="Level6">
    <w:name w:val="Level 6"/>
    <w:basedOn w:val="Level5"/>
    <w:pPr>
      <w:ind w:left="4961"/>
    </w:pPr>
  </w:style>
  <w:style w:type="paragraph" w:styleId="Header">
    <w:name w:val="header"/>
    <w:basedOn w:val="Normal"/>
    <w:uiPriority w:val="99"/>
    <w:pPr>
      <w:jc w:val="left"/>
    </w:pPr>
  </w:style>
  <w:style w:type="paragraph" w:styleId="Footer">
    <w:name w:val="footer"/>
    <w:basedOn w:val="Normal"/>
    <w:uiPriority w:val="99"/>
    <w:pPr>
      <w:tabs>
        <w:tab w:val="center" w:pos="4320"/>
        <w:tab w:val="right" w:pos="8640"/>
      </w:tabs>
    </w:pPr>
  </w:style>
  <w:style w:type="paragraph" w:styleId="BodyText">
    <w:name w:val="Body Text"/>
    <w:basedOn w:val="Normal"/>
  </w:style>
  <w:style w:type="paragraph" w:customStyle="1" w:styleId="Level7">
    <w:name w:val="Level 7"/>
    <w:basedOn w:val="Level6"/>
  </w:style>
  <w:style w:type="paragraph" w:customStyle="1" w:styleId="Level8">
    <w:name w:val="Level 8"/>
    <w:basedOn w:val="Level7"/>
  </w:style>
  <w:style w:type="paragraph" w:customStyle="1" w:styleId="Level9">
    <w:name w:val="Level 9"/>
    <w:basedOn w:val="Level8"/>
  </w:style>
  <w:style w:type="paragraph" w:customStyle="1" w:styleId="HD6Level1">
    <w:name w:val="HD6 Level 1"/>
    <w:basedOn w:val="Normal"/>
    <w:pPr>
      <w:overflowPunct/>
      <w:autoSpaceDE/>
      <w:spacing w:after="240" w:line="312" w:lineRule="auto"/>
      <w:textAlignment w:val="auto"/>
    </w:pPr>
  </w:style>
  <w:style w:type="paragraph" w:customStyle="1" w:styleId="HD6Level2">
    <w:name w:val="HD6 Level 2"/>
    <w:basedOn w:val="HD6Level1"/>
  </w:style>
  <w:style w:type="paragraph" w:customStyle="1" w:styleId="HD6Level3">
    <w:name w:val="HD6 Level 3"/>
    <w:basedOn w:val="HD6Level2"/>
  </w:style>
  <w:style w:type="paragraph" w:customStyle="1" w:styleId="HD6Level4">
    <w:name w:val="HD6 Level 4"/>
    <w:basedOn w:val="HD6Level3"/>
  </w:style>
  <w:style w:type="paragraph" w:customStyle="1" w:styleId="HD6Level5">
    <w:name w:val="HD6 Level 5"/>
    <w:basedOn w:val="HD6Level4"/>
  </w:style>
  <w:style w:type="paragraph" w:customStyle="1" w:styleId="HD6Level6">
    <w:name w:val="HD6 Level 6"/>
    <w:basedOn w:val="HD6Level5"/>
  </w:style>
  <w:style w:type="paragraph" w:customStyle="1" w:styleId="HD6Level7">
    <w:name w:val="HD6 Level 7"/>
    <w:basedOn w:val="HD6Level6"/>
  </w:style>
  <w:style w:type="paragraph" w:customStyle="1" w:styleId="HD6Level8">
    <w:name w:val="HD6 Level 8"/>
    <w:basedOn w:val="HD6Level7"/>
  </w:style>
  <w:style w:type="paragraph" w:customStyle="1" w:styleId="HD6Level9">
    <w:name w:val="HD6 Level 9"/>
    <w:basedOn w:val="HD6Level8"/>
    <w:pPr>
      <w:numPr>
        <w:numId w:val="8"/>
      </w:numPr>
    </w:pPr>
  </w:style>
  <w:style w:type="paragraph" w:customStyle="1" w:styleId="SchHeader1">
    <w:name w:val="Sch Header 1"/>
    <w:next w:val="Normal"/>
    <w:pPr>
      <w:keepNext/>
      <w:suppressAutoHyphens/>
      <w:spacing w:after="240" w:line="312" w:lineRule="auto"/>
      <w:jc w:val="center"/>
      <w:outlineLvl w:val="0"/>
    </w:pPr>
    <w:rPr>
      <w:b/>
      <w:caps/>
      <w:u w:val="single"/>
      <w:lang w:eastAsia="en-US"/>
    </w:rPr>
  </w:style>
  <w:style w:type="paragraph" w:customStyle="1" w:styleId="Contents">
    <w:name w:val="Contents"/>
    <w:basedOn w:val="Heading1"/>
    <w:pPr>
      <w:jc w:val="center"/>
    </w:pPr>
  </w:style>
  <w:style w:type="paragraph" w:styleId="TOC1">
    <w:name w:val="toc 1"/>
    <w:basedOn w:val="Normal"/>
    <w:next w:val="Normal"/>
    <w:autoRedefine/>
    <w:uiPriority w:val="39"/>
    <w:rsid w:val="001941AF"/>
    <w:pPr>
      <w:tabs>
        <w:tab w:val="left" w:pos="709"/>
        <w:tab w:val="right" w:leader="dot" w:pos="9516"/>
      </w:tabs>
      <w:overflowPunct/>
      <w:autoSpaceDE/>
      <w:ind w:left="709" w:hanging="709"/>
      <w:jc w:val="left"/>
      <w:textAlignment w:val="auto"/>
    </w:pPr>
  </w:style>
  <w:style w:type="paragraph" w:styleId="TOC2">
    <w:name w:val="toc 2"/>
    <w:basedOn w:val="Normal"/>
    <w:next w:val="Normal"/>
    <w:autoRedefine/>
    <w:uiPriority w:val="39"/>
    <w:rsid w:val="00CE44A5"/>
    <w:pPr>
      <w:tabs>
        <w:tab w:val="left" w:pos="1417"/>
        <w:tab w:val="right" w:leader="dot" w:pos="9017"/>
      </w:tabs>
      <w:overflowPunct/>
      <w:autoSpaceDE/>
      <w:spacing w:after="240" w:line="312" w:lineRule="auto"/>
      <w:ind w:left="709"/>
      <w:jc w:val="left"/>
      <w:textAlignment w:val="auto"/>
    </w:pPr>
  </w:style>
  <w:style w:type="paragraph" w:styleId="TOC3">
    <w:name w:val="toc 3"/>
    <w:basedOn w:val="Normal"/>
    <w:next w:val="Normal"/>
    <w:autoRedefine/>
    <w:uiPriority w:val="39"/>
    <w:pPr>
      <w:overflowPunct/>
      <w:autoSpaceDE/>
      <w:spacing w:after="240" w:line="312" w:lineRule="auto"/>
      <w:ind w:left="1417"/>
      <w:jc w:val="left"/>
      <w:textAlignment w:val="auto"/>
    </w:pPr>
  </w:style>
  <w:style w:type="paragraph" w:styleId="TOC4">
    <w:name w:val="toc 4"/>
    <w:basedOn w:val="Normal"/>
    <w:next w:val="Normal"/>
    <w:autoRedefine/>
    <w:pPr>
      <w:overflowPunct/>
      <w:autoSpaceDE/>
      <w:spacing w:after="240" w:line="312" w:lineRule="auto"/>
      <w:ind w:left="2126"/>
      <w:jc w:val="left"/>
      <w:textAlignment w:val="auto"/>
    </w:pPr>
  </w:style>
  <w:style w:type="character" w:styleId="PageNumber">
    <w:name w:val="page number"/>
    <w:basedOn w:val="DefaultParagraphFont"/>
  </w:style>
  <w:style w:type="paragraph" w:customStyle="1" w:styleId="Notice">
    <w:name w:val="Notice"/>
    <w:basedOn w:val="Normal"/>
    <w:pPr>
      <w:spacing w:after="120"/>
    </w:pPr>
    <w:rPr>
      <w:sz w:val="16"/>
    </w:rPr>
  </w:style>
  <w:style w:type="paragraph" w:customStyle="1" w:styleId="CoverDocumentTitle">
    <w:name w:val="Cover Document Title"/>
    <w:next w:val="Normal"/>
    <w:pPr>
      <w:suppressAutoHyphens/>
    </w:pPr>
    <w:rPr>
      <w:sz w:val="28"/>
      <w:lang w:eastAsia="en-US"/>
    </w:rPr>
  </w:style>
  <w:style w:type="paragraph" w:customStyle="1" w:styleId="CoverDate">
    <w:name w:val="Cover Date"/>
    <w:next w:val="Normal"/>
    <w:pPr>
      <w:suppressAutoHyphens/>
    </w:pPr>
    <w:rPr>
      <w:sz w:val="28"/>
      <w:lang w:eastAsia="en-US"/>
    </w:rPr>
  </w:style>
  <w:style w:type="paragraph" w:customStyle="1" w:styleId="CoverPartyName">
    <w:name w:val="Cover Party Name"/>
    <w:next w:val="Normal"/>
    <w:pPr>
      <w:suppressAutoHyphens/>
    </w:pPr>
    <w:rPr>
      <w:sz w:val="28"/>
      <w:lang w:eastAsia="en-US"/>
    </w:rPr>
  </w:style>
  <w:style w:type="paragraph" w:customStyle="1" w:styleId="CoverPartyRole">
    <w:name w:val="Cover Party Role"/>
    <w:next w:val="Normal"/>
    <w:pPr>
      <w:suppressAutoHyphens/>
    </w:pPr>
    <w:rPr>
      <w:sz w:val="28"/>
      <w:lang w:eastAsia="en-US"/>
    </w:rPr>
  </w:style>
  <w:style w:type="paragraph" w:customStyle="1" w:styleId="NoticeHeader">
    <w:name w:val="Notice Header"/>
    <w:basedOn w:val="Notice"/>
    <w:next w:val="Notice"/>
    <w:pPr>
      <w:numPr>
        <w:numId w:val="7"/>
      </w:numPr>
      <w:jc w:val="center"/>
    </w:pPr>
    <w:rPr>
      <w:caps/>
      <w:u w:val="single"/>
    </w:rPr>
  </w:style>
  <w:style w:type="paragraph" w:customStyle="1" w:styleId="SchHeader2">
    <w:name w:val="Sch Header 2"/>
    <w:next w:val="Normal"/>
    <w:pPr>
      <w:keepNext/>
      <w:suppressAutoHyphens/>
      <w:spacing w:after="240" w:line="312" w:lineRule="auto"/>
      <w:jc w:val="center"/>
      <w:outlineLvl w:val="1"/>
    </w:pPr>
    <w:rPr>
      <w:b/>
      <w:caps/>
      <w:lang w:eastAsia="en-US"/>
    </w:rPr>
  </w:style>
  <w:style w:type="paragraph" w:customStyle="1" w:styleId="SchHeader3">
    <w:name w:val="Sch Header 3"/>
    <w:next w:val="Normal"/>
    <w:pPr>
      <w:keepNext/>
      <w:suppressAutoHyphens/>
      <w:spacing w:after="240" w:line="312" w:lineRule="auto"/>
      <w:jc w:val="center"/>
      <w:outlineLvl w:val="2"/>
    </w:pPr>
    <w:rPr>
      <w:caps/>
      <w:lang w:eastAsia="en-US"/>
    </w:rPr>
  </w:style>
  <w:style w:type="paragraph" w:customStyle="1" w:styleId="SchHeader4">
    <w:name w:val="Sch Header 4"/>
    <w:next w:val="HD6Level1"/>
    <w:pPr>
      <w:keepNext/>
      <w:suppressAutoHyphens/>
      <w:spacing w:after="240" w:line="312" w:lineRule="auto"/>
      <w:jc w:val="center"/>
      <w:outlineLvl w:val="3"/>
    </w:pPr>
    <w:rPr>
      <w:caps/>
      <w:lang w:eastAsia="en-US"/>
    </w:r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character" w:customStyle="1" w:styleId="BodyTextChar">
    <w:name w:val="Body Text Char"/>
    <w:rPr>
      <w:rFonts w:ascii="Arial" w:hAnsi="Arial"/>
      <w:sz w:val="22"/>
      <w:lang w:val="en-GB" w:eastAsia="en-US" w:bidi="ar-SA"/>
    </w:rPr>
  </w:style>
  <w:style w:type="paragraph" w:customStyle="1" w:styleId="DocID">
    <w:name w:val="DocID"/>
    <w:basedOn w:val="Normal"/>
    <w:next w:val="Footer"/>
    <w:pPr>
      <w:overflowPunct/>
      <w:autoSpaceDE/>
      <w:jc w:val="left"/>
      <w:textAlignment w:val="auto"/>
    </w:pPr>
    <w:rPr>
      <w:rFonts w:ascii="Cambria" w:hAnsi="Cambria"/>
      <w:sz w:val="18"/>
      <w:lang w:eastAsia="nb-NO"/>
    </w:rPr>
  </w:style>
  <w:style w:type="character" w:customStyle="1" w:styleId="DocIDChar">
    <w:name w:val="DocID Char"/>
    <w:rPr>
      <w:rFonts w:ascii="Cambria" w:hAnsi="Cambria"/>
      <w:sz w:val="18"/>
      <w:szCs w:val="22"/>
      <w:lang w:eastAsia="nb-NO"/>
    </w:rPr>
  </w:style>
  <w:style w:type="character" w:styleId="CommentReference">
    <w:name w:val="annotation reference"/>
    <w:uiPriority w:val="99"/>
    <w:rPr>
      <w:sz w:val="16"/>
      <w:szCs w:val="16"/>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paragraph" w:styleId="ListParagraph">
    <w:name w:val="List Paragraph"/>
    <w:basedOn w:val="Normal"/>
    <w:uiPriority w:val="34"/>
    <w:qFormat/>
    <w:pPr>
      <w:ind w:left="720"/>
    </w:pPr>
  </w:style>
  <w:style w:type="paragraph" w:styleId="TOCHeading">
    <w:name w:val="TOC Heading"/>
    <w:basedOn w:val="Heading1"/>
    <w:next w:val="Normal"/>
    <w:pPr>
      <w:overflowPunct w:val="0"/>
      <w:autoSpaceDE w:val="0"/>
      <w:spacing w:before="240" w:after="60" w:line="240" w:lineRule="auto"/>
      <w:jc w:val="both"/>
      <w:textAlignment w:val="baseline"/>
    </w:pPr>
    <w:rPr>
      <w:rFonts w:ascii="Cambria" w:hAnsi="Cambria" w:cs="Times New Roman"/>
      <w:kern w:val="3"/>
      <w:sz w:val="32"/>
    </w:rPr>
  </w:style>
  <w:style w:type="character" w:customStyle="1" w:styleId="ListParagraphChar">
    <w:name w:val="List Paragraph Char"/>
    <w:rPr>
      <w:rFonts w:ascii="Arial" w:hAnsi="Arial"/>
      <w:sz w:val="22"/>
      <w:lang w:eastAsia="en-US"/>
    </w:rPr>
  </w:style>
  <w:style w:type="paragraph" w:styleId="FootnoteText">
    <w:name w:val="footnote text"/>
    <w:basedOn w:val="Normal"/>
    <w:pPr>
      <w:overflowPunct/>
      <w:autoSpaceDE/>
      <w:jc w:val="left"/>
      <w:textAlignment w:val="auto"/>
    </w:pPr>
    <w:rPr>
      <w:rFonts w:ascii="Calibri" w:eastAsia="Calibri" w:hAnsi="Calibri"/>
      <w:sz w:val="20"/>
    </w:rPr>
  </w:style>
  <w:style w:type="character" w:customStyle="1" w:styleId="FootnoteTextChar">
    <w:name w:val="Footnote Text Char"/>
    <w:rPr>
      <w:rFonts w:ascii="Calibri" w:eastAsia="Calibri" w:hAnsi="Calibri"/>
      <w:lang w:eastAsia="en-US"/>
    </w:rPr>
  </w:style>
  <w:style w:type="character" w:styleId="Hyperlink">
    <w:name w:val="Hyperlink"/>
    <w:uiPriority w:val="99"/>
    <w:rPr>
      <w:color w:val="0000FF"/>
      <w:u w:val="single"/>
    </w:rPr>
  </w:style>
  <w:style w:type="paragraph" w:styleId="CommentText">
    <w:name w:val="annotation text"/>
    <w:basedOn w:val="Normal"/>
    <w:uiPriority w:val="99"/>
    <w:rPr>
      <w:sz w:val="20"/>
    </w:rPr>
  </w:style>
  <w:style w:type="character" w:customStyle="1" w:styleId="CommentTextChar">
    <w:name w:val="Comment Text Char"/>
    <w:uiPriority w:val="99"/>
    <w:rPr>
      <w:rFonts w:ascii="Arial" w:hAnsi="Arial"/>
      <w:lang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b/>
      <w:bCs/>
      <w:lang w:eastAsia="en-US"/>
    </w:rPr>
  </w:style>
  <w:style w:type="character" w:customStyle="1" w:styleId="HeaderChar">
    <w:name w:val="Header Char"/>
    <w:basedOn w:val="DefaultParagraphFont"/>
    <w:rPr>
      <w:rFonts w:ascii="Arial" w:hAnsi="Arial"/>
      <w:sz w:val="22"/>
      <w:lang w:eastAsia="en-US"/>
    </w:rPr>
  </w:style>
  <w:style w:type="character" w:customStyle="1" w:styleId="FooterChar">
    <w:name w:val="Footer Char"/>
    <w:basedOn w:val="DefaultParagraphFont"/>
    <w:rPr>
      <w:rFonts w:ascii="Arial" w:hAnsi="Arial"/>
      <w:sz w:val="22"/>
      <w:lang w:eastAsia="en-US"/>
    </w:rPr>
  </w:style>
  <w:style w:type="paragraph" w:styleId="NoSpacing">
    <w:name w:val="No Spacing"/>
    <w:pPr>
      <w:suppressAutoHyphens/>
    </w:pPr>
    <w:rPr>
      <w:rFonts w:ascii="Calibri" w:eastAsia="Times New Roman" w:hAnsi="Calibri" w:cs="Times New Roman"/>
      <w:lang w:val="en-US" w:eastAsia="ja-JP"/>
    </w:rPr>
  </w:style>
  <w:style w:type="character" w:customStyle="1" w:styleId="NoSpacingChar">
    <w:name w:val="No Spacing Char"/>
    <w:basedOn w:val="DefaultParagraphFont"/>
    <w:rPr>
      <w:rFonts w:ascii="Calibri" w:eastAsia="Times New Roman" w:hAnsi="Calibri" w:cs="Times New Roman"/>
      <w:sz w:val="22"/>
      <w:szCs w:val="22"/>
      <w:lang w:val="en-US" w:eastAsia="ja-JP"/>
    </w:rPr>
  </w:style>
  <w:style w:type="paragraph" w:styleId="Subtitle">
    <w:name w:val="Subtitle"/>
    <w:basedOn w:val="Normal"/>
    <w:next w:val="Normal"/>
    <w:link w:val="SubtitleChar"/>
    <w:uiPriority w:val="11"/>
    <w:qFormat/>
    <w:rsid w:val="00ED17F0"/>
    <w:pPr>
      <w:keepNext/>
      <w:keepLines/>
      <w:spacing w:before="360" w:after="240"/>
    </w:pPr>
    <w:rPr>
      <w:rFonts w:eastAsia="Georgia"/>
      <w:i/>
      <w:color w:val="666666"/>
    </w:rPr>
  </w:style>
  <w:style w:type="paragraph" w:styleId="NormalWeb">
    <w:name w:val="Normal (Web)"/>
    <w:basedOn w:val="Normal"/>
    <w:pPr>
      <w:overflowPunct/>
      <w:autoSpaceDE/>
      <w:spacing w:before="100" w:after="100"/>
      <w:jc w:val="left"/>
      <w:textAlignment w:val="auto"/>
    </w:pPr>
    <w:rPr>
      <w:rFonts w:ascii="Times New Roman" w:eastAsia="Times New Roman" w:hAnsi="Times New Roman" w:cs="Times New Roman"/>
      <w:sz w:val="24"/>
      <w:szCs w:val="24"/>
      <w:lang w:eastAsia="en-GB"/>
    </w:rPr>
  </w:style>
  <w:style w:type="character" w:styleId="UnresolvedMention">
    <w:name w:val="Unresolved Mention"/>
    <w:basedOn w:val="DefaultParagraphFont"/>
    <w:rPr>
      <w:color w:val="605E5C"/>
      <w:shd w:val="clear" w:color="auto" w:fill="E1DFDD"/>
    </w:rPr>
  </w:style>
  <w:style w:type="paragraph" w:customStyle="1" w:styleId="ColorfulList-Accent11">
    <w:name w:val="Colorful List - Accent 11"/>
    <w:basedOn w:val="Normal"/>
    <w:pPr>
      <w:suppressAutoHyphens w:val="0"/>
      <w:overflowPunct/>
      <w:autoSpaceDE/>
      <w:ind w:left="720"/>
      <w:jc w:val="left"/>
      <w:textAlignment w:val="auto"/>
    </w:pPr>
    <w:rPr>
      <w:rFonts w:ascii="Times New Roman" w:eastAsia="Times New Roman" w:hAnsi="Times New Roman" w:cs="Times New Roman"/>
      <w:sz w:val="24"/>
      <w:szCs w:val="20"/>
    </w:rPr>
  </w:style>
  <w:style w:type="character" w:styleId="Emphasis">
    <w:name w:val="Emphasis"/>
    <w:rPr>
      <w:i/>
      <w:iCs/>
    </w:rPr>
  </w:style>
  <w:style w:type="paragraph" w:customStyle="1" w:styleId="Normal11">
    <w:name w:val="Normal 1.1"/>
    <w:basedOn w:val="Heading3"/>
    <w:pPr>
      <w:keepNext w:val="0"/>
      <w:numPr>
        <w:ilvl w:val="0"/>
        <w:numId w:val="9"/>
      </w:numPr>
      <w:spacing w:after="0" w:line="240" w:lineRule="auto"/>
    </w:pPr>
    <w:rPr>
      <w:b/>
      <w:bCs w:val="0"/>
      <w:lang w:eastAsia="en-GB"/>
    </w:rPr>
  </w:style>
  <w:style w:type="character" w:customStyle="1" w:styleId="Normal11Char">
    <w:name w:val="Normal 1.1 Char"/>
    <w:basedOn w:val="DefaultParagraphFont"/>
    <w:rPr>
      <w:iCs/>
      <w:szCs w:val="26"/>
      <w:lang w:eastAsia="en-US"/>
    </w:r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1">
    <w:name w:val="LFO1"/>
    <w:basedOn w:val="NoList"/>
    <w:pPr>
      <w:numPr>
        <w:numId w:val="7"/>
      </w:numPr>
    </w:pPr>
  </w:style>
  <w:style w:type="numbering" w:customStyle="1" w:styleId="LFO2">
    <w:name w:val="LFO2"/>
    <w:basedOn w:val="NoList"/>
    <w:pPr>
      <w:numPr>
        <w:numId w:val="8"/>
      </w:numPr>
    </w:pPr>
  </w:style>
  <w:style w:type="numbering" w:customStyle="1" w:styleId="LFO15">
    <w:name w:val="LFO15"/>
    <w:basedOn w:val="NoList"/>
    <w:pPr>
      <w:numPr>
        <w:numId w:val="9"/>
      </w:numPr>
    </w:pPr>
  </w:style>
  <w:style w:type="numbering" w:customStyle="1" w:styleId="WWOutlineListStyle10">
    <w:name w:val="WW_OutlineListStyle_10"/>
    <w:basedOn w:val="NoList"/>
    <w:rsid w:val="0078097E"/>
    <w:pPr>
      <w:numPr>
        <w:numId w:val="20"/>
      </w:numPr>
    </w:pPr>
  </w:style>
  <w:style w:type="table" w:styleId="TableGrid">
    <w:name w:val="Table Grid"/>
    <w:basedOn w:val="TableNormal"/>
    <w:uiPriority w:val="39"/>
    <w:rsid w:val="004E25DE"/>
    <w:pPr>
      <w:autoSpaceDN/>
      <w:jc w:val="left"/>
      <w:textAlignment w:val="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43CA3"/>
    <w:rPr>
      <w:b/>
      <w:iCs/>
      <w:szCs w:val="28"/>
      <w:lang w:eastAsia="en-US"/>
    </w:rPr>
  </w:style>
  <w:style w:type="character" w:customStyle="1" w:styleId="TitleChar">
    <w:name w:val="Title Char"/>
    <w:basedOn w:val="DefaultParagraphFont"/>
    <w:link w:val="Title"/>
    <w:uiPriority w:val="10"/>
    <w:rsid w:val="00943CA3"/>
    <w:rPr>
      <w:b/>
      <w:sz w:val="72"/>
      <w:szCs w:val="72"/>
      <w:lang w:eastAsia="en-US"/>
    </w:rPr>
  </w:style>
  <w:style w:type="character" w:styleId="FootnoteReference">
    <w:name w:val="footnote reference"/>
    <w:basedOn w:val="DefaultParagraphFont"/>
    <w:uiPriority w:val="99"/>
    <w:semiHidden/>
    <w:unhideWhenUsed/>
    <w:rsid w:val="00943CA3"/>
    <w:rPr>
      <w:vertAlign w:val="superscript"/>
    </w:rPr>
  </w:style>
  <w:style w:type="paragraph" w:styleId="Revision">
    <w:name w:val="Revision"/>
    <w:hidden/>
    <w:uiPriority w:val="99"/>
    <w:semiHidden/>
    <w:rsid w:val="00786F69"/>
    <w:pPr>
      <w:autoSpaceDN/>
      <w:jc w:val="left"/>
      <w:textAlignment w:val="auto"/>
    </w:pPr>
    <w:rPr>
      <w:lang w:eastAsia="en-US"/>
    </w:rPr>
  </w:style>
  <w:style w:type="character" w:customStyle="1" w:styleId="SubtitleChar">
    <w:name w:val="Subtitle Char"/>
    <w:basedOn w:val="DefaultParagraphFont"/>
    <w:link w:val="Subtitle"/>
    <w:uiPriority w:val="11"/>
    <w:rsid w:val="00CF1C55"/>
    <w:rPr>
      <w:rFonts w:eastAsia="Georgia"/>
      <w:i/>
      <w:color w:val="666666"/>
      <w:lang w:eastAsia="en-US"/>
    </w:rPr>
  </w:style>
  <w:style w:type="character" w:styleId="FollowedHyperlink">
    <w:name w:val="FollowedHyperlink"/>
    <w:basedOn w:val="DefaultParagraphFont"/>
    <w:uiPriority w:val="99"/>
    <w:semiHidden/>
    <w:unhideWhenUsed/>
    <w:rsid w:val="008D28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032205">
      <w:bodyDiv w:val="1"/>
      <w:marLeft w:val="0"/>
      <w:marRight w:val="0"/>
      <w:marTop w:val="0"/>
      <w:marBottom w:val="0"/>
      <w:divBdr>
        <w:top w:val="none" w:sz="0" w:space="0" w:color="auto"/>
        <w:left w:val="none" w:sz="0" w:space="0" w:color="auto"/>
        <w:bottom w:val="none" w:sz="0" w:space="0" w:color="auto"/>
        <w:right w:val="none" w:sz="0" w:space="0" w:color="auto"/>
      </w:divBdr>
    </w:div>
    <w:div w:id="1229727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wp-content/uploads/2022/06/28-nhs-greater-manchester-icb-constitution-010722.pdf"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gmhscp.gmcr.dpo@nhs.ne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gmhscp.gmcr.dpo@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5610f35-1274-4b86-9b01-b920d01fb57d" xsi:nil="true"/>
    <lcf76f155ced4ddcb4097134ff3c332f xmlns="3865e961-636b-4229-a92c-61b090a62e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B1A509E4C17749BDBCA1B90E411F6D" ma:contentTypeVersion="17" ma:contentTypeDescription="Create a new document." ma:contentTypeScope="" ma:versionID="f13f846189abd04112c07218f899727d">
  <xsd:schema xmlns:xsd="http://www.w3.org/2001/XMLSchema" xmlns:xs="http://www.w3.org/2001/XMLSchema" xmlns:p="http://schemas.microsoft.com/office/2006/metadata/properties" xmlns:ns2="3865e961-636b-4229-a92c-61b090a62e80" xmlns:ns3="35610f35-1274-4b86-9b01-b920d01fb57d" targetNamespace="http://schemas.microsoft.com/office/2006/metadata/properties" ma:root="true" ma:fieldsID="7f2fb3278ff1fddc4d249c442f108cab" ns2:_="" ns3:_="">
    <xsd:import namespace="3865e961-636b-4229-a92c-61b090a62e80"/>
    <xsd:import namespace="35610f35-1274-4b86-9b01-b920d01fb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e961-636b-4229-a92c-61b090a62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e5a09f-989d-4993-903c-fdb9310b2b88"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10f35-1274-4b86-9b01-b920d01fb5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36aca7b-0744-4d21-814d-75b82f6d1cd6}" ma:internalName="TaxCatchAll" ma:showField="CatchAllData" ma:web="35610f35-1274-4b86-9b01-b920d01fb57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E350D-EA0F-4659-90B2-8B48DD584DF6}">
  <ds:schemaRefs>
    <ds:schemaRef ds:uri="http://schemas.openxmlformats.org/officeDocument/2006/bibliography"/>
  </ds:schemaRefs>
</ds:datastoreItem>
</file>

<file path=customXml/itemProps2.xml><?xml version="1.0" encoding="utf-8"?>
<ds:datastoreItem xmlns:ds="http://schemas.openxmlformats.org/officeDocument/2006/customXml" ds:itemID="{0BC16757-A490-42E3-B219-3224F8A022B3}">
  <ds:schemaRefs>
    <ds:schemaRef ds:uri="http://schemas.microsoft.com/office/2006/metadata/properties"/>
    <ds:schemaRef ds:uri="http://schemas.microsoft.com/office/infopath/2007/PartnerControls"/>
    <ds:schemaRef ds:uri="35610f35-1274-4b86-9b01-b920d01fb57d"/>
    <ds:schemaRef ds:uri="3865e961-636b-4229-a92c-61b090a62e80"/>
  </ds:schemaRefs>
</ds:datastoreItem>
</file>

<file path=customXml/itemProps3.xml><?xml version="1.0" encoding="utf-8"?>
<ds:datastoreItem xmlns:ds="http://schemas.openxmlformats.org/officeDocument/2006/customXml" ds:itemID="{DC06EA4A-E95B-4D22-88F0-64475DE9FB26}">
  <ds:schemaRefs>
    <ds:schemaRef ds:uri="http://schemas.microsoft.com/sharepoint/v3/contenttype/forms"/>
  </ds:schemaRefs>
</ds:datastoreItem>
</file>

<file path=customXml/itemProps4.xml><?xml version="1.0" encoding="utf-8"?>
<ds:datastoreItem xmlns:ds="http://schemas.openxmlformats.org/officeDocument/2006/customXml" ds:itemID="{9FA19C1B-02E1-4593-9C70-FBC46AEB8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5e961-636b-4229-a92c-61b090a62e80"/>
    <ds:schemaRef ds:uri="35610f35-1274-4b86-9b01-b920d01fb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24</Pages>
  <Words>7489</Words>
  <Characters>42689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Template Data Processing Agreement - Colour coded 24.08.18</vt:lpstr>
    </vt:vector>
  </TitlesOfParts>
  <Company/>
  <LinksUpToDate>false</LinksUpToDate>
  <CharactersWithSpaces>50078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Data Processing Agreement - Colour coded 24.08.18</dc:title>
  <dc:subject>HD_INFDPA_GDPR Guidance</dc:subject>
  <dc:creator>Tina Kiernan</dc:creator>
  <cp:keywords/>
  <dc:description/>
  <cp:lastModifiedBy>Anton King</cp:lastModifiedBy>
  <cp:revision>49</cp:revision>
  <cp:lastPrinted>2022-06-15T13:19:00Z</cp:lastPrinted>
  <dcterms:created xsi:type="dcterms:W3CDTF">2023-11-30T13:47:00Z</dcterms:created>
  <dcterms:modified xsi:type="dcterms:W3CDTF">2025-01-15T11:46:00Z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O">
    <vt:lpwstr>2009.08.04.4</vt:lpwstr>
  </property>
  <property fmtid="{D5CDD505-2E9C-101B-9397-08002B2CF9AE}" pid="3" name="Title">
    <vt:lpwstr>Template Data Processing Agreement - Colour coded 24.08.18</vt:lpwstr>
  </property>
  <property fmtid="{D5CDD505-2E9C-101B-9397-08002B2CF9AE}" pid="4" name="Subject">
    <vt:lpwstr>HD_INFDPA_GDPR Guidance</vt:lpwstr>
  </property>
  <property fmtid="{D5CDD505-2E9C-101B-9397-08002B2CF9AE}" pid="5" name="Author">
    <vt:lpwstr>Laura Tasker</vt:lpwstr>
  </property>
  <property fmtid="{D5CDD505-2E9C-101B-9397-08002B2CF9AE}" pid="6" name="Manager">
    <vt:lpwstr>ES</vt:lpwstr>
  </property>
  <property fmtid="{D5CDD505-2E9C-101B-9397-08002B2CF9AE}" pid="7" name="Category">
    <vt:lpwstr>Document</vt:lpwstr>
  </property>
  <property fmtid="{D5CDD505-2E9C-101B-9397-08002B2CF9AE}" pid="8" name="ClientNo">
    <vt:lpwstr>12002157</vt:lpwstr>
  </property>
  <property fmtid="{D5CDD505-2E9C-101B-9397-08002B2CF9AE}" pid="9" name="MatterNo">
    <vt:lpwstr>124</vt:lpwstr>
  </property>
  <property fmtid="{D5CDD505-2E9C-101B-9397-08002B2CF9AE}" pid="10" name="DMSFileNo">
    <vt:lpwstr>153876784</vt:lpwstr>
  </property>
  <property fmtid="{D5CDD505-2E9C-101B-9397-08002B2CF9AE}" pid="11" name="Typist">
    <vt:lpwstr>Laura Tasker</vt:lpwstr>
  </property>
  <property fmtid="{D5CDD505-2E9C-101B-9397-08002B2CF9AE}" pid="12" name="FilesiteDocRef">
    <vt:lpwstr>153876784.1</vt:lpwstr>
  </property>
  <property fmtid="{D5CDD505-2E9C-101B-9397-08002B2CF9AE}" pid="13" name="ContentTypeId">
    <vt:lpwstr>0x010100BFB1A509E4C17749BDBCA1B90E411F6D</vt:lpwstr>
  </property>
  <property fmtid="{D5CDD505-2E9C-101B-9397-08002B2CF9AE}" pid="14" name="_dlc_DocIdItemGuid">
    <vt:lpwstr>ef6b6354-2194-44f9-96a5-c8a17328cd4b</vt:lpwstr>
  </property>
  <property fmtid="{D5CDD505-2E9C-101B-9397-08002B2CF9AE}" pid="15" name="MediaServiceImageTags">
    <vt:lpwstr/>
  </property>
</Properties>
</file>